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2AA2" w14:textId="77777777" w:rsidR="005439B6" w:rsidRPr="00242A37" w:rsidRDefault="005439B6" w:rsidP="00FA576A">
      <w:pPr>
        <w:rPr>
          <w:rFonts w:ascii="Arial" w:hAnsi="Arial" w:cs="Arial"/>
          <w:sz w:val="36"/>
          <w:szCs w:val="36"/>
        </w:rPr>
      </w:pPr>
    </w:p>
    <w:p w14:paraId="5F3AE119" w14:textId="4C30B330" w:rsidR="00DA1DD0" w:rsidRDefault="00DA1DD0" w:rsidP="00FA576A">
      <w:pPr>
        <w:rPr>
          <w:rFonts w:ascii="Arial" w:hAnsi="Arial" w:cs="Arial"/>
          <w:sz w:val="36"/>
          <w:szCs w:val="36"/>
        </w:rPr>
      </w:pPr>
      <w:r w:rsidRPr="00242A37">
        <w:rPr>
          <w:rFonts w:ascii="Arial" w:hAnsi="Arial" w:cs="Arial"/>
          <w:sz w:val="36"/>
          <w:szCs w:val="36"/>
        </w:rPr>
        <w:t xml:space="preserve">A </w:t>
      </w:r>
      <w:r w:rsidR="00214730" w:rsidRPr="00242A37">
        <w:rPr>
          <w:rFonts w:ascii="Arial" w:hAnsi="Arial" w:cs="Arial"/>
          <w:sz w:val="36"/>
          <w:szCs w:val="36"/>
        </w:rPr>
        <w:t>g</w:t>
      </w:r>
      <w:r w:rsidRPr="00242A37">
        <w:rPr>
          <w:rFonts w:ascii="Arial" w:hAnsi="Arial" w:cs="Arial"/>
          <w:sz w:val="36"/>
          <w:szCs w:val="36"/>
        </w:rPr>
        <w:t>uide to</w:t>
      </w:r>
      <w:r w:rsidR="00A75D98" w:rsidRPr="00242A37">
        <w:rPr>
          <w:rFonts w:ascii="Arial" w:hAnsi="Arial" w:cs="Arial"/>
          <w:sz w:val="36"/>
          <w:szCs w:val="36"/>
        </w:rPr>
        <w:t xml:space="preserve"> </w:t>
      </w:r>
      <w:r w:rsidR="00020C9A" w:rsidRPr="00242A37">
        <w:rPr>
          <w:rFonts w:ascii="Arial" w:hAnsi="Arial" w:cs="Arial"/>
          <w:sz w:val="36"/>
          <w:szCs w:val="36"/>
        </w:rPr>
        <w:t xml:space="preserve">the </w:t>
      </w:r>
      <w:r w:rsidR="00BF0B12">
        <w:rPr>
          <w:rFonts w:ascii="Arial" w:hAnsi="Arial" w:cs="Arial"/>
          <w:sz w:val="36"/>
          <w:szCs w:val="36"/>
        </w:rPr>
        <w:t>Spring Budget 2024</w:t>
      </w:r>
    </w:p>
    <w:p w14:paraId="70DA7803" w14:textId="77777777" w:rsidR="00DA1DD0" w:rsidRPr="00242A37" w:rsidRDefault="00DA1DD0" w:rsidP="00FA576A">
      <w:pPr>
        <w:pStyle w:val="Heading3"/>
        <w:spacing w:before="0" w:after="0"/>
        <w:rPr>
          <w:bCs w:val="0"/>
          <w:sz w:val="20"/>
        </w:rPr>
      </w:pPr>
    </w:p>
    <w:p w14:paraId="5409AAFC" w14:textId="77777777" w:rsidR="00CA3F40" w:rsidRPr="00242A37" w:rsidRDefault="0065704D" w:rsidP="00696368">
      <w:pPr>
        <w:pStyle w:val="xmsonormal"/>
        <w:rPr>
          <w:rFonts w:ascii="Arial" w:hAnsi="Arial" w:cs="Arial"/>
          <w:b/>
          <w:bCs/>
        </w:rPr>
      </w:pPr>
      <w:r w:rsidRPr="00242A37">
        <w:rPr>
          <w:rFonts w:ascii="Arial" w:hAnsi="Arial" w:cs="Arial"/>
          <w:b/>
          <w:bCs/>
        </w:rPr>
        <w:t xml:space="preserve">The </w:t>
      </w:r>
      <w:r w:rsidR="009D0D08" w:rsidRPr="00242A37">
        <w:rPr>
          <w:rFonts w:ascii="Arial" w:hAnsi="Arial" w:cs="Arial"/>
          <w:b/>
          <w:bCs/>
        </w:rPr>
        <w:t xml:space="preserve">headline </w:t>
      </w:r>
      <w:r w:rsidRPr="00242A37">
        <w:rPr>
          <w:rFonts w:ascii="Arial" w:hAnsi="Arial" w:cs="Arial"/>
          <w:b/>
          <w:bCs/>
        </w:rPr>
        <w:t>message from the Chancellor</w:t>
      </w:r>
    </w:p>
    <w:p w14:paraId="5F5B5024" w14:textId="77777777" w:rsidR="00CA3F40" w:rsidRPr="005833A9" w:rsidRDefault="00CA3F40" w:rsidP="00212307">
      <w:pPr>
        <w:pStyle w:val="xmsonormal"/>
        <w:rPr>
          <w:rFonts w:ascii="Arial" w:eastAsia="Times New Roman" w:hAnsi="Arial" w:cs="Arial"/>
          <w:lang w:eastAsia="en-US"/>
        </w:rPr>
      </w:pPr>
    </w:p>
    <w:p w14:paraId="2347F8F7" w14:textId="763E7AC4" w:rsidR="00445141" w:rsidRDefault="00445141" w:rsidP="00212307">
      <w:pPr>
        <w:pStyle w:val="xmsonormal"/>
        <w:rPr>
          <w:rFonts w:ascii="Arial" w:eastAsia="Times New Roman" w:hAnsi="Arial" w:cs="Arial"/>
          <w:lang w:eastAsia="en-US"/>
        </w:rPr>
      </w:pPr>
      <w:r w:rsidRPr="00445141">
        <w:rPr>
          <w:rFonts w:ascii="Arial" w:eastAsia="Times New Roman" w:hAnsi="Arial" w:cs="Arial"/>
          <w:lang w:eastAsia="en-US"/>
        </w:rPr>
        <w:t xml:space="preserve">The Chancellor delivered his last spring budget ahead of the election highlighting reforms aimed to ensure the tax system is simple, fair, keeps pace with economic developments, and supports public finances. As with previous budgets we have </w:t>
      </w:r>
      <w:proofErr w:type="gramStart"/>
      <w:r w:rsidRPr="00445141">
        <w:rPr>
          <w:rFonts w:ascii="Arial" w:eastAsia="Times New Roman" w:hAnsi="Arial" w:cs="Arial"/>
          <w:lang w:eastAsia="en-US"/>
        </w:rPr>
        <w:t>a number of</w:t>
      </w:r>
      <w:proofErr w:type="gramEnd"/>
      <w:r w:rsidRPr="00445141">
        <w:rPr>
          <w:rFonts w:ascii="Arial" w:eastAsia="Times New Roman" w:hAnsi="Arial" w:cs="Arial"/>
          <w:lang w:eastAsia="en-US"/>
        </w:rPr>
        <w:t xml:space="preserve"> consultations and further detail needed which will appear over the next few weeks. </w:t>
      </w:r>
    </w:p>
    <w:p w14:paraId="12C41FD0" w14:textId="77777777" w:rsidR="00305411" w:rsidRDefault="00305411" w:rsidP="00212307">
      <w:pPr>
        <w:pStyle w:val="xmsonormal"/>
        <w:rPr>
          <w:rFonts w:ascii="Arial" w:eastAsia="Times New Roman" w:hAnsi="Arial" w:cs="Arial"/>
          <w:lang w:eastAsia="en-US"/>
        </w:rPr>
      </w:pPr>
    </w:p>
    <w:p w14:paraId="35A8811F" w14:textId="77777777" w:rsidR="00212307" w:rsidRPr="005833A9" w:rsidRDefault="00212307" w:rsidP="009369B1">
      <w:pPr>
        <w:rPr>
          <w:rFonts w:ascii="Arial" w:hAnsi="Arial" w:cs="Arial"/>
          <w:sz w:val="22"/>
          <w:szCs w:val="22"/>
        </w:rPr>
      </w:pPr>
    </w:p>
    <w:p w14:paraId="13375258" w14:textId="6AB576FA" w:rsidR="004261C3" w:rsidRPr="005833A9" w:rsidRDefault="004261C3" w:rsidP="004261C3">
      <w:pPr>
        <w:pStyle w:val="Heading1"/>
        <w:shd w:val="clear" w:color="auto" w:fill="FFFFFF"/>
        <w:rPr>
          <w:rFonts w:ascii="Arial" w:hAnsi="Arial" w:cs="Arial"/>
          <w:b w:val="0"/>
          <w:bCs w:val="0"/>
          <w:sz w:val="22"/>
          <w:szCs w:val="22"/>
        </w:rPr>
      </w:pPr>
    </w:p>
    <w:p w14:paraId="481A9C4D" w14:textId="77777777" w:rsidR="00CA3F40" w:rsidRPr="00242A37" w:rsidRDefault="00CA3F40" w:rsidP="0065704D">
      <w:pPr>
        <w:rPr>
          <w:rFonts w:ascii="Arial" w:hAnsi="Arial" w:cs="Arial"/>
          <w:sz w:val="22"/>
          <w:szCs w:val="22"/>
        </w:rPr>
      </w:pPr>
    </w:p>
    <w:p w14:paraId="3A233535" w14:textId="310A5281" w:rsidR="00CA3F40" w:rsidRPr="00242A37" w:rsidRDefault="00CA3F40" w:rsidP="0065704D">
      <w:pPr>
        <w:rPr>
          <w:rFonts w:ascii="Arial" w:hAnsi="Arial" w:cs="Arial"/>
          <w:sz w:val="22"/>
          <w:szCs w:val="22"/>
        </w:rPr>
      </w:pPr>
    </w:p>
    <w:p w14:paraId="740BEF42" w14:textId="08E6B35C" w:rsidR="00F7510D" w:rsidRPr="00242A37" w:rsidRDefault="00F7510D" w:rsidP="0065704D">
      <w:pPr>
        <w:rPr>
          <w:rFonts w:ascii="Arial" w:hAnsi="Arial" w:cs="Arial"/>
          <w:sz w:val="22"/>
          <w:szCs w:val="22"/>
        </w:rPr>
      </w:pPr>
    </w:p>
    <w:p w14:paraId="157B97FB" w14:textId="41823D91" w:rsidR="00F7510D" w:rsidRPr="00242A37" w:rsidRDefault="00F7510D" w:rsidP="0065704D">
      <w:pPr>
        <w:rPr>
          <w:rFonts w:ascii="Arial" w:hAnsi="Arial" w:cs="Arial"/>
          <w:sz w:val="22"/>
          <w:szCs w:val="22"/>
        </w:rPr>
      </w:pPr>
    </w:p>
    <w:p w14:paraId="3C80C528" w14:textId="3318756F" w:rsidR="00F7510D" w:rsidRPr="00242A37" w:rsidRDefault="00F7510D" w:rsidP="0065704D">
      <w:pPr>
        <w:rPr>
          <w:rFonts w:ascii="Arial" w:hAnsi="Arial" w:cs="Arial"/>
          <w:sz w:val="22"/>
          <w:szCs w:val="22"/>
        </w:rPr>
      </w:pPr>
    </w:p>
    <w:p w14:paraId="4C5DFE5D" w14:textId="4CF403DC" w:rsidR="00F7510D" w:rsidRPr="00242A37" w:rsidRDefault="00F7510D" w:rsidP="0065704D">
      <w:pPr>
        <w:rPr>
          <w:rFonts w:ascii="Arial" w:hAnsi="Arial" w:cs="Arial"/>
          <w:sz w:val="22"/>
          <w:szCs w:val="22"/>
        </w:rPr>
      </w:pPr>
    </w:p>
    <w:p w14:paraId="4844F31A" w14:textId="182F00AB" w:rsidR="00F7510D" w:rsidRPr="00242A37" w:rsidRDefault="00F7510D" w:rsidP="0065704D">
      <w:pPr>
        <w:rPr>
          <w:rFonts w:ascii="Arial" w:hAnsi="Arial" w:cs="Arial"/>
          <w:sz w:val="22"/>
          <w:szCs w:val="22"/>
        </w:rPr>
      </w:pPr>
    </w:p>
    <w:p w14:paraId="5E3959E4" w14:textId="593A5B64" w:rsidR="00F7510D" w:rsidRPr="00242A37" w:rsidRDefault="00F7510D" w:rsidP="0065704D">
      <w:pPr>
        <w:rPr>
          <w:rFonts w:ascii="Arial" w:hAnsi="Arial" w:cs="Arial"/>
          <w:sz w:val="22"/>
          <w:szCs w:val="22"/>
        </w:rPr>
      </w:pPr>
    </w:p>
    <w:p w14:paraId="2ED0E3D2" w14:textId="1EC0B6A0" w:rsidR="00F7510D" w:rsidRPr="00242A37" w:rsidRDefault="00F7510D" w:rsidP="0065704D">
      <w:pPr>
        <w:rPr>
          <w:rFonts w:ascii="Arial" w:hAnsi="Arial" w:cs="Arial"/>
          <w:sz w:val="22"/>
          <w:szCs w:val="22"/>
        </w:rPr>
      </w:pPr>
    </w:p>
    <w:p w14:paraId="622AC89A" w14:textId="1E5EA9CB" w:rsidR="00F7510D" w:rsidRPr="00242A37" w:rsidRDefault="00F7510D" w:rsidP="0065704D">
      <w:pPr>
        <w:rPr>
          <w:rFonts w:ascii="Arial" w:hAnsi="Arial" w:cs="Arial"/>
          <w:sz w:val="22"/>
          <w:szCs w:val="22"/>
        </w:rPr>
      </w:pPr>
    </w:p>
    <w:p w14:paraId="30A48F2A" w14:textId="3414FD80" w:rsidR="00F7510D" w:rsidRPr="00242A37" w:rsidRDefault="00F7510D" w:rsidP="0065704D">
      <w:pPr>
        <w:rPr>
          <w:rFonts w:ascii="Arial" w:hAnsi="Arial" w:cs="Arial"/>
          <w:sz w:val="22"/>
          <w:szCs w:val="22"/>
        </w:rPr>
      </w:pPr>
    </w:p>
    <w:p w14:paraId="25BB681A" w14:textId="77777777" w:rsidR="00DC63C1" w:rsidRPr="00242A37" w:rsidRDefault="00DC63C1" w:rsidP="0065704D">
      <w:pPr>
        <w:rPr>
          <w:rFonts w:ascii="Arial" w:hAnsi="Arial" w:cs="Arial"/>
          <w:sz w:val="22"/>
          <w:szCs w:val="22"/>
        </w:rPr>
      </w:pPr>
    </w:p>
    <w:p w14:paraId="7E23A7D4" w14:textId="77777777" w:rsidR="00DC63C1" w:rsidRPr="00242A37" w:rsidRDefault="00DC63C1" w:rsidP="0065704D">
      <w:pPr>
        <w:rPr>
          <w:rFonts w:ascii="Arial" w:hAnsi="Arial" w:cs="Arial"/>
          <w:sz w:val="22"/>
          <w:szCs w:val="22"/>
        </w:rPr>
      </w:pPr>
    </w:p>
    <w:p w14:paraId="158C5E55" w14:textId="77777777" w:rsidR="00DC63C1" w:rsidRPr="00242A37" w:rsidRDefault="00DC63C1" w:rsidP="0065704D">
      <w:pPr>
        <w:rPr>
          <w:rFonts w:ascii="Arial" w:hAnsi="Arial" w:cs="Arial"/>
          <w:sz w:val="22"/>
          <w:szCs w:val="22"/>
        </w:rPr>
      </w:pPr>
    </w:p>
    <w:p w14:paraId="6CBE62C0" w14:textId="77777777" w:rsidR="00DC63C1" w:rsidRPr="00242A37" w:rsidRDefault="00DC63C1" w:rsidP="0065704D">
      <w:pPr>
        <w:rPr>
          <w:rFonts w:ascii="Arial" w:hAnsi="Arial" w:cs="Arial"/>
          <w:sz w:val="22"/>
          <w:szCs w:val="22"/>
        </w:rPr>
      </w:pPr>
    </w:p>
    <w:p w14:paraId="35777E9B" w14:textId="77777777" w:rsidR="00DC63C1" w:rsidRPr="00242A37" w:rsidRDefault="00DC63C1" w:rsidP="0065704D">
      <w:pPr>
        <w:rPr>
          <w:rFonts w:ascii="Arial" w:hAnsi="Arial" w:cs="Arial"/>
          <w:sz w:val="22"/>
          <w:szCs w:val="22"/>
        </w:rPr>
      </w:pPr>
    </w:p>
    <w:p w14:paraId="048DF18B" w14:textId="77777777" w:rsidR="00DC63C1" w:rsidRPr="00242A37" w:rsidRDefault="00DC63C1" w:rsidP="0065704D">
      <w:pPr>
        <w:rPr>
          <w:rFonts w:ascii="Arial" w:hAnsi="Arial" w:cs="Arial"/>
          <w:sz w:val="22"/>
          <w:szCs w:val="22"/>
        </w:rPr>
      </w:pPr>
    </w:p>
    <w:p w14:paraId="1F813258" w14:textId="77777777" w:rsidR="00DC63C1" w:rsidRPr="00242A37" w:rsidRDefault="00DC63C1" w:rsidP="0065704D">
      <w:pPr>
        <w:rPr>
          <w:rFonts w:ascii="Arial" w:hAnsi="Arial" w:cs="Arial"/>
          <w:sz w:val="22"/>
          <w:szCs w:val="22"/>
        </w:rPr>
      </w:pPr>
    </w:p>
    <w:p w14:paraId="3E8E6AE5" w14:textId="77777777" w:rsidR="00B63D6B" w:rsidRDefault="00B63D6B" w:rsidP="0065704D">
      <w:pPr>
        <w:rPr>
          <w:rFonts w:ascii="Arial" w:hAnsi="Arial" w:cs="Arial"/>
          <w:sz w:val="22"/>
          <w:szCs w:val="22"/>
        </w:rPr>
      </w:pPr>
    </w:p>
    <w:p w14:paraId="542457E3" w14:textId="77777777" w:rsidR="00B63D6B" w:rsidRDefault="00B63D6B" w:rsidP="0065704D">
      <w:pPr>
        <w:rPr>
          <w:rFonts w:ascii="Arial" w:hAnsi="Arial" w:cs="Arial"/>
          <w:sz w:val="22"/>
          <w:szCs w:val="22"/>
        </w:rPr>
      </w:pPr>
    </w:p>
    <w:p w14:paraId="3F5D656B" w14:textId="77777777" w:rsidR="00B63D6B" w:rsidRDefault="00B63D6B" w:rsidP="0065704D">
      <w:pPr>
        <w:rPr>
          <w:rFonts w:ascii="Arial" w:hAnsi="Arial" w:cs="Arial"/>
          <w:sz w:val="22"/>
          <w:szCs w:val="22"/>
        </w:rPr>
      </w:pPr>
    </w:p>
    <w:p w14:paraId="6F9FA8AE" w14:textId="0F285AF7" w:rsidR="0065704D" w:rsidRDefault="009E564F" w:rsidP="0065704D">
      <w:pPr>
        <w:rPr>
          <w:rFonts w:ascii="Arial" w:hAnsi="Arial" w:cs="Arial"/>
          <w:sz w:val="22"/>
          <w:szCs w:val="22"/>
        </w:rPr>
      </w:pPr>
      <w:r>
        <w:rPr>
          <w:rFonts w:ascii="Arial" w:hAnsi="Arial" w:cs="Arial"/>
          <w:sz w:val="22"/>
          <w:szCs w:val="22"/>
        </w:rPr>
        <w:t>Key</w:t>
      </w:r>
      <w:r w:rsidR="00CA3F40" w:rsidRPr="00242A37">
        <w:rPr>
          <w:rFonts w:ascii="Arial" w:hAnsi="Arial" w:cs="Arial"/>
          <w:sz w:val="22"/>
          <w:szCs w:val="22"/>
        </w:rPr>
        <w:t xml:space="preserve"> measures announced by the Chancellor </w:t>
      </w:r>
      <w:r w:rsidR="00B06890">
        <w:rPr>
          <w:rFonts w:ascii="Arial" w:hAnsi="Arial" w:cs="Arial"/>
          <w:sz w:val="22"/>
          <w:szCs w:val="22"/>
        </w:rPr>
        <w:t xml:space="preserve">in the </w:t>
      </w:r>
      <w:r w:rsidR="00093F34">
        <w:rPr>
          <w:rFonts w:ascii="Arial" w:hAnsi="Arial" w:cs="Arial"/>
          <w:sz w:val="22"/>
          <w:szCs w:val="22"/>
        </w:rPr>
        <w:t xml:space="preserve">Spring Budget 2024 </w:t>
      </w:r>
      <w:r>
        <w:rPr>
          <w:rFonts w:ascii="Arial" w:hAnsi="Arial" w:cs="Arial"/>
          <w:sz w:val="22"/>
          <w:szCs w:val="22"/>
        </w:rPr>
        <w:t>are summarised within this Guide.</w:t>
      </w:r>
      <w:r w:rsidR="00B06890">
        <w:rPr>
          <w:rFonts w:ascii="Arial" w:hAnsi="Arial" w:cs="Arial"/>
          <w:sz w:val="22"/>
          <w:szCs w:val="22"/>
        </w:rPr>
        <w:t xml:space="preserve"> </w:t>
      </w:r>
    </w:p>
    <w:p w14:paraId="40870EED" w14:textId="77777777" w:rsidR="007E4E94" w:rsidRDefault="007E4E94" w:rsidP="0065704D">
      <w:pPr>
        <w:rPr>
          <w:rFonts w:ascii="Arial" w:hAnsi="Arial" w:cs="Arial"/>
          <w:sz w:val="22"/>
          <w:szCs w:val="22"/>
        </w:rPr>
      </w:pPr>
    </w:p>
    <w:p w14:paraId="11883E67" w14:textId="77777777" w:rsidR="00011A69" w:rsidRDefault="00011A69" w:rsidP="0065704D">
      <w:pPr>
        <w:rPr>
          <w:rFonts w:ascii="Arial" w:hAnsi="Arial" w:cs="Arial"/>
          <w:b/>
          <w:bCs/>
          <w:sz w:val="28"/>
          <w:szCs w:val="28"/>
        </w:rPr>
      </w:pPr>
    </w:p>
    <w:p w14:paraId="5306985B" w14:textId="77777777" w:rsidR="00093F34" w:rsidRDefault="00093F34" w:rsidP="0065704D">
      <w:pPr>
        <w:rPr>
          <w:rFonts w:ascii="Arial" w:hAnsi="Arial" w:cs="Arial"/>
          <w:b/>
          <w:bCs/>
          <w:sz w:val="28"/>
          <w:szCs w:val="28"/>
        </w:rPr>
      </w:pPr>
    </w:p>
    <w:p w14:paraId="39C4F40A" w14:textId="2AD0E090" w:rsidR="000D68A9" w:rsidRDefault="000D68A9" w:rsidP="0065704D">
      <w:pPr>
        <w:rPr>
          <w:rFonts w:ascii="Arial" w:hAnsi="Arial" w:cs="Arial"/>
          <w:b/>
          <w:bCs/>
          <w:sz w:val="28"/>
          <w:szCs w:val="28"/>
        </w:rPr>
      </w:pPr>
      <w:r>
        <w:rPr>
          <w:rFonts w:ascii="Arial" w:hAnsi="Arial" w:cs="Arial"/>
          <w:b/>
          <w:bCs/>
          <w:sz w:val="28"/>
          <w:szCs w:val="28"/>
        </w:rPr>
        <w:lastRenderedPageBreak/>
        <w:t>KEY TAX RATES</w:t>
      </w:r>
    </w:p>
    <w:tbl>
      <w:tblPr>
        <w:tblW w:w="10388" w:type="dxa"/>
        <w:tblLayout w:type="fixed"/>
        <w:tblLook w:val="04A0" w:firstRow="1" w:lastRow="0" w:firstColumn="1" w:lastColumn="0" w:noHBand="0" w:noVBand="1"/>
      </w:tblPr>
      <w:tblGrid>
        <w:gridCol w:w="6086"/>
        <w:gridCol w:w="2031"/>
        <w:gridCol w:w="2271"/>
      </w:tblGrid>
      <w:tr w:rsidR="00FE6CB9" w:rsidRPr="00EF34F1" w14:paraId="6B6D7ADE" w14:textId="77777777" w:rsidTr="00FE6CB9">
        <w:trPr>
          <w:trHeight w:val="330"/>
        </w:trPr>
        <w:tc>
          <w:tcPr>
            <w:tcW w:w="6086" w:type="dxa"/>
            <w:tcBorders>
              <w:bottom w:val="single" w:sz="4" w:space="0" w:color="auto"/>
            </w:tcBorders>
            <w:noWrap/>
            <w:hideMark/>
          </w:tcPr>
          <w:p w14:paraId="77471AD7" w14:textId="77777777" w:rsidR="00FE6CB9" w:rsidRPr="00EF34F1" w:rsidRDefault="00FE6CB9" w:rsidP="00423AD9">
            <w:pPr>
              <w:rPr>
                <w:rFonts w:ascii="Arial" w:hAnsi="Arial" w:cs="Arial"/>
                <w:sz w:val="20"/>
                <w:szCs w:val="20"/>
              </w:rPr>
            </w:pPr>
            <w:r w:rsidRPr="00EF34F1">
              <w:rPr>
                <w:rFonts w:ascii="Arial" w:hAnsi="Arial" w:cs="Arial"/>
                <w:sz w:val="20"/>
                <w:szCs w:val="20"/>
              </w:rPr>
              <w:t xml:space="preserve">                   </w:t>
            </w:r>
          </w:p>
        </w:tc>
        <w:tc>
          <w:tcPr>
            <w:tcW w:w="2031" w:type="dxa"/>
            <w:tcBorders>
              <w:bottom w:val="single" w:sz="4" w:space="0" w:color="auto"/>
            </w:tcBorders>
            <w:noWrap/>
            <w:hideMark/>
          </w:tcPr>
          <w:p w14:paraId="7DDDAF2D" w14:textId="77777777" w:rsidR="00FE6CB9" w:rsidRPr="00EF34F1" w:rsidRDefault="00FE6CB9" w:rsidP="00423AD9">
            <w:pPr>
              <w:rPr>
                <w:rFonts w:ascii="Arial" w:hAnsi="Arial" w:cs="Arial"/>
                <w:sz w:val="20"/>
                <w:szCs w:val="20"/>
              </w:rPr>
            </w:pPr>
          </w:p>
        </w:tc>
        <w:tc>
          <w:tcPr>
            <w:tcW w:w="2271" w:type="dxa"/>
            <w:tcBorders>
              <w:bottom w:val="single" w:sz="4" w:space="0" w:color="auto"/>
            </w:tcBorders>
            <w:noWrap/>
            <w:hideMark/>
          </w:tcPr>
          <w:p w14:paraId="3C9641F7" w14:textId="77777777" w:rsidR="00FE6CB9" w:rsidRPr="00EF34F1" w:rsidRDefault="00FE6CB9" w:rsidP="00423AD9">
            <w:pPr>
              <w:rPr>
                <w:rFonts w:ascii="Arial" w:hAnsi="Arial" w:cs="Arial"/>
                <w:sz w:val="20"/>
                <w:szCs w:val="20"/>
              </w:rPr>
            </w:pPr>
          </w:p>
        </w:tc>
      </w:tr>
      <w:tr w:rsidR="00FE6CB9" w:rsidRPr="003E275B" w14:paraId="23564F27" w14:textId="77777777" w:rsidTr="00FE6CB9">
        <w:trPr>
          <w:trHeight w:val="330"/>
        </w:trPr>
        <w:tc>
          <w:tcPr>
            <w:tcW w:w="6086" w:type="dxa"/>
            <w:tcBorders>
              <w:top w:val="single" w:sz="4" w:space="0" w:color="auto"/>
              <w:left w:val="single" w:sz="4" w:space="0" w:color="auto"/>
              <w:bottom w:val="single" w:sz="4" w:space="0" w:color="auto"/>
              <w:right w:val="single" w:sz="4" w:space="0" w:color="auto"/>
            </w:tcBorders>
            <w:shd w:val="clear" w:color="auto" w:fill="4273AF" w:themeFill="accent1" w:themeFillShade="E6"/>
            <w:noWrap/>
            <w:hideMark/>
          </w:tcPr>
          <w:p w14:paraId="620F8431" w14:textId="4DFE2B50" w:rsidR="00FE6CB9" w:rsidRPr="00EF34F1" w:rsidRDefault="00FE6CB9" w:rsidP="00423AD9">
            <w:pPr>
              <w:rPr>
                <w:rFonts w:ascii="Arial" w:hAnsi="Arial" w:cs="Arial"/>
                <w:sz w:val="20"/>
                <w:szCs w:val="20"/>
              </w:rPr>
            </w:pPr>
            <w:r w:rsidRPr="00EF34F1">
              <w:rPr>
                <w:rFonts w:ascii="Arial" w:hAnsi="Arial" w:cs="Arial"/>
                <w:sz w:val="20"/>
                <w:szCs w:val="20"/>
              </w:rPr>
              <w:t> </w:t>
            </w:r>
            <w:r w:rsidRPr="00EF1758">
              <w:rPr>
                <w:rFonts w:ascii="Arial" w:hAnsi="Arial" w:cs="Arial"/>
                <w:b/>
                <w:bCs/>
                <w:sz w:val="20"/>
                <w:szCs w:val="20"/>
              </w:rPr>
              <w:t xml:space="preserve">Income tax rates: England, Wales &amp; Northern Ireland </w:t>
            </w:r>
            <w:r w:rsidRPr="00EF1758">
              <w:rPr>
                <w:rFonts w:ascii="Arial" w:hAnsi="Arial" w:cs="Arial"/>
                <w:b/>
                <w:bCs/>
                <w:sz w:val="20"/>
                <w:szCs w:val="20"/>
              </w:rPr>
              <w:br/>
              <w:t>(non-dividend income)</w:t>
            </w:r>
          </w:p>
        </w:tc>
        <w:tc>
          <w:tcPr>
            <w:tcW w:w="2031" w:type="dxa"/>
            <w:tcBorders>
              <w:top w:val="single" w:sz="4" w:space="0" w:color="auto"/>
              <w:left w:val="single" w:sz="4" w:space="0" w:color="auto"/>
              <w:bottom w:val="single" w:sz="4" w:space="0" w:color="auto"/>
              <w:right w:val="single" w:sz="4" w:space="0" w:color="auto"/>
            </w:tcBorders>
            <w:shd w:val="clear" w:color="auto" w:fill="4273AF" w:themeFill="accent1" w:themeFillShade="E6"/>
            <w:noWrap/>
            <w:hideMark/>
          </w:tcPr>
          <w:p w14:paraId="084F3B39" w14:textId="77777777" w:rsidR="00FE6CB9" w:rsidRPr="00EF34F1" w:rsidRDefault="00FE6CB9" w:rsidP="00423AD9">
            <w:pPr>
              <w:jc w:val="right"/>
              <w:rPr>
                <w:rFonts w:ascii="Arial" w:hAnsi="Arial" w:cs="Arial"/>
                <w:b/>
                <w:bCs/>
              </w:rPr>
            </w:pPr>
            <w:r>
              <w:rPr>
                <w:rFonts w:ascii="Arial" w:hAnsi="Arial" w:cs="Arial"/>
                <w:b/>
                <w:bCs/>
              </w:rPr>
              <w:t>2024/25</w:t>
            </w:r>
          </w:p>
        </w:tc>
        <w:tc>
          <w:tcPr>
            <w:tcW w:w="2271" w:type="dxa"/>
            <w:tcBorders>
              <w:top w:val="single" w:sz="4" w:space="0" w:color="auto"/>
              <w:left w:val="single" w:sz="4" w:space="0" w:color="auto"/>
              <w:bottom w:val="single" w:sz="4" w:space="0" w:color="auto"/>
              <w:right w:val="single" w:sz="4" w:space="0" w:color="auto"/>
            </w:tcBorders>
            <w:shd w:val="clear" w:color="auto" w:fill="4273AF" w:themeFill="accent1" w:themeFillShade="E6"/>
            <w:noWrap/>
            <w:hideMark/>
          </w:tcPr>
          <w:p w14:paraId="629FB101" w14:textId="77777777" w:rsidR="00FE6CB9" w:rsidRPr="003E275B" w:rsidRDefault="00FE6CB9" w:rsidP="00423AD9">
            <w:pPr>
              <w:jc w:val="right"/>
              <w:rPr>
                <w:rFonts w:ascii="Arial" w:hAnsi="Arial" w:cs="Arial"/>
                <w:b/>
                <w:bCs/>
              </w:rPr>
            </w:pPr>
            <w:r>
              <w:rPr>
                <w:rFonts w:ascii="Arial" w:hAnsi="Arial" w:cs="Arial"/>
                <w:b/>
                <w:bCs/>
              </w:rPr>
              <w:t>2023/24</w:t>
            </w:r>
          </w:p>
        </w:tc>
      </w:tr>
      <w:tr w:rsidR="00FE6CB9" w:rsidRPr="00415DF6" w14:paraId="7FAF21BE" w14:textId="77777777" w:rsidTr="00FE6CB9">
        <w:trPr>
          <w:trHeight w:val="315"/>
        </w:trPr>
        <w:tc>
          <w:tcPr>
            <w:tcW w:w="6086" w:type="dxa"/>
            <w:tcBorders>
              <w:top w:val="single" w:sz="4" w:space="0" w:color="auto"/>
              <w:left w:val="single" w:sz="4" w:space="0" w:color="auto"/>
              <w:bottom w:val="single" w:sz="4" w:space="0" w:color="auto"/>
              <w:right w:val="single" w:sz="4" w:space="0" w:color="auto"/>
            </w:tcBorders>
            <w:noWrap/>
            <w:hideMark/>
          </w:tcPr>
          <w:p w14:paraId="41275233" w14:textId="77777777" w:rsidR="00FE6CB9" w:rsidRPr="00415DF6" w:rsidRDefault="00FE6CB9" w:rsidP="00423AD9">
            <w:pPr>
              <w:rPr>
                <w:rFonts w:ascii="Arial" w:hAnsi="Arial" w:cs="Arial"/>
                <w:sz w:val="20"/>
                <w:szCs w:val="20"/>
              </w:rPr>
            </w:pPr>
            <w:r w:rsidRPr="00415DF6">
              <w:rPr>
                <w:rFonts w:ascii="Arial" w:hAnsi="Arial" w:cs="Arial"/>
                <w:sz w:val="20"/>
                <w:szCs w:val="20"/>
              </w:rPr>
              <w:t>0% starting rate for savings only</w:t>
            </w:r>
          </w:p>
        </w:tc>
        <w:tc>
          <w:tcPr>
            <w:tcW w:w="2031" w:type="dxa"/>
            <w:tcBorders>
              <w:top w:val="single" w:sz="4" w:space="0" w:color="auto"/>
              <w:left w:val="single" w:sz="4" w:space="0" w:color="auto"/>
              <w:bottom w:val="single" w:sz="4" w:space="0" w:color="auto"/>
              <w:right w:val="single" w:sz="4" w:space="0" w:color="auto"/>
            </w:tcBorders>
            <w:noWrap/>
            <w:hideMark/>
          </w:tcPr>
          <w:p w14:paraId="1C894FDD" w14:textId="77777777" w:rsidR="00FE6CB9" w:rsidRPr="00423AD9" w:rsidRDefault="00FE6CB9" w:rsidP="00423AD9">
            <w:pPr>
              <w:jc w:val="right"/>
              <w:rPr>
                <w:rFonts w:ascii="Arial" w:hAnsi="Arial" w:cs="Arial"/>
                <w:sz w:val="20"/>
                <w:szCs w:val="20"/>
              </w:rPr>
            </w:pPr>
            <w:r w:rsidRPr="00423AD9">
              <w:rPr>
                <w:rFonts w:ascii="Arial" w:hAnsi="Arial" w:cs="Arial"/>
                <w:sz w:val="20"/>
                <w:szCs w:val="20"/>
              </w:rPr>
              <w:t>Up to £5,000</w:t>
            </w:r>
          </w:p>
        </w:tc>
        <w:tc>
          <w:tcPr>
            <w:tcW w:w="2271" w:type="dxa"/>
            <w:tcBorders>
              <w:top w:val="single" w:sz="4" w:space="0" w:color="auto"/>
              <w:left w:val="single" w:sz="4" w:space="0" w:color="auto"/>
              <w:bottom w:val="single" w:sz="4" w:space="0" w:color="auto"/>
              <w:right w:val="single" w:sz="4" w:space="0" w:color="auto"/>
            </w:tcBorders>
            <w:noWrap/>
            <w:hideMark/>
          </w:tcPr>
          <w:p w14:paraId="5AC982E3" w14:textId="77777777" w:rsidR="00FE6CB9" w:rsidRPr="00415DF6" w:rsidRDefault="00FE6CB9" w:rsidP="00423AD9">
            <w:pPr>
              <w:jc w:val="right"/>
              <w:rPr>
                <w:rFonts w:ascii="Arial" w:hAnsi="Arial" w:cs="Arial"/>
                <w:sz w:val="20"/>
                <w:szCs w:val="20"/>
              </w:rPr>
            </w:pPr>
            <w:r w:rsidRPr="00415DF6">
              <w:rPr>
                <w:rFonts w:ascii="Arial" w:hAnsi="Arial" w:cs="Arial"/>
                <w:sz w:val="20"/>
                <w:szCs w:val="20"/>
              </w:rPr>
              <w:t>Up to £5,000</w:t>
            </w:r>
          </w:p>
        </w:tc>
      </w:tr>
      <w:tr w:rsidR="00A01142" w:rsidRPr="00415DF6" w14:paraId="7C4FD29A" w14:textId="77777777" w:rsidTr="00FE6CB9">
        <w:trPr>
          <w:trHeight w:val="315"/>
        </w:trPr>
        <w:tc>
          <w:tcPr>
            <w:tcW w:w="6086" w:type="dxa"/>
            <w:tcBorders>
              <w:top w:val="single" w:sz="4" w:space="0" w:color="auto"/>
              <w:left w:val="single" w:sz="4" w:space="0" w:color="auto"/>
              <w:bottom w:val="single" w:sz="4" w:space="0" w:color="auto"/>
              <w:right w:val="single" w:sz="4" w:space="0" w:color="auto"/>
            </w:tcBorders>
            <w:noWrap/>
          </w:tcPr>
          <w:p w14:paraId="055138C0" w14:textId="505BC3B7" w:rsidR="00A01142" w:rsidRPr="00415DF6" w:rsidRDefault="00F73CAA" w:rsidP="00423AD9">
            <w:pPr>
              <w:rPr>
                <w:rFonts w:ascii="Arial" w:hAnsi="Arial" w:cs="Arial"/>
                <w:sz w:val="20"/>
                <w:szCs w:val="20"/>
              </w:rPr>
            </w:pPr>
            <w:r>
              <w:rPr>
                <w:rFonts w:ascii="Arial" w:hAnsi="Arial" w:cs="Arial"/>
                <w:sz w:val="20"/>
                <w:szCs w:val="20"/>
              </w:rPr>
              <w:t>0% on personal allowance</w:t>
            </w:r>
            <w:r w:rsidR="00517B03">
              <w:rPr>
                <w:rFonts w:ascii="Arial" w:hAnsi="Arial" w:cs="Arial"/>
                <w:sz w:val="20"/>
                <w:szCs w:val="20"/>
              </w:rPr>
              <w:t xml:space="preserve"> (subject to any clawback of PA)</w:t>
            </w:r>
          </w:p>
        </w:tc>
        <w:tc>
          <w:tcPr>
            <w:tcW w:w="2031" w:type="dxa"/>
            <w:tcBorders>
              <w:top w:val="single" w:sz="4" w:space="0" w:color="auto"/>
              <w:left w:val="single" w:sz="4" w:space="0" w:color="auto"/>
              <w:bottom w:val="single" w:sz="4" w:space="0" w:color="auto"/>
              <w:right w:val="single" w:sz="4" w:space="0" w:color="auto"/>
            </w:tcBorders>
            <w:noWrap/>
          </w:tcPr>
          <w:p w14:paraId="17FAD2B1" w14:textId="075C6C3E" w:rsidR="00A01142" w:rsidRPr="00423AD9" w:rsidRDefault="00F73CAA" w:rsidP="00423AD9">
            <w:pPr>
              <w:jc w:val="right"/>
              <w:rPr>
                <w:rFonts w:ascii="Arial" w:hAnsi="Arial" w:cs="Arial"/>
                <w:sz w:val="20"/>
                <w:szCs w:val="20"/>
              </w:rPr>
            </w:pPr>
            <w:r>
              <w:rPr>
                <w:rFonts w:ascii="Arial" w:hAnsi="Arial" w:cs="Arial"/>
                <w:sz w:val="20"/>
                <w:szCs w:val="20"/>
              </w:rPr>
              <w:t>£0 - £12,570</w:t>
            </w:r>
          </w:p>
        </w:tc>
        <w:tc>
          <w:tcPr>
            <w:tcW w:w="2271" w:type="dxa"/>
            <w:tcBorders>
              <w:top w:val="single" w:sz="4" w:space="0" w:color="auto"/>
              <w:left w:val="single" w:sz="4" w:space="0" w:color="auto"/>
              <w:bottom w:val="single" w:sz="4" w:space="0" w:color="auto"/>
              <w:right w:val="single" w:sz="4" w:space="0" w:color="auto"/>
            </w:tcBorders>
            <w:noWrap/>
          </w:tcPr>
          <w:p w14:paraId="0C719438" w14:textId="3F3BC703" w:rsidR="00A01142" w:rsidRPr="00415DF6" w:rsidRDefault="00F73CAA" w:rsidP="00423AD9">
            <w:pPr>
              <w:jc w:val="right"/>
              <w:rPr>
                <w:rFonts w:ascii="Arial" w:hAnsi="Arial" w:cs="Arial"/>
                <w:sz w:val="20"/>
                <w:szCs w:val="20"/>
              </w:rPr>
            </w:pPr>
            <w:r>
              <w:rPr>
                <w:rFonts w:ascii="Arial" w:hAnsi="Arial" w:cs="Arial"/>
                <w:sz w:val="20"/>
                <w:szCs w:val="20"/>
              </w:rPr>
              <w:t>£0 - £12,570</w:t>
            </w:r>
          </w:p>
        </w:tc>
      </w:tr>
      <w:tr w:rsidR="00FE6CB9" w:rsidRPr="00415DF6" w14:paraId="14FB68BF" w14:textId="77777777" w:rsidTr="00FE6CB9">
        <w:trPr>
          <w:trHeight w:val="315"/>
        </w:trPr>
        <w:tc>
          <w:tcPr>
            <w:tcW w:w="6086" w:type="dxa"/>
            <w:tcBorders>
              <w:top w:val="single" w:sz="4" w:space="0" w:color="auto"/>
              <w:left w:val="single" w:sz="4" w:space="0" w:color="auto"/>
              <w:bottom w:val="single" w:sz="4" w:space="0" w:color="auto"/>
              <w:right w:val="single" w:sz="4" w:space="0" w:color="auto"/>
            </w:tcBorders>
            <w:noWrap/>
            <w:hideMark/>
          </w:tcPr>
          <w:p w14:paraId="7CAE69B6" w14:textId="77777777" w:rsidR="00FE6CB9" w:rsidRPr="00415DF6" w:rsidRDefault="00FE6CB9" w:rsidP="00423AD9">
            <w:pPr>
              <w:rPr>
                <w:rFonts w:ascii="Arial" w:hAnsi="Arial" w:cs="Arial"/>
                <w:sz w:val="20"/>
                <w:szCs w:val="20"/>
              </w:rPr>
            </w:pPr>
            <w:r w:rsidRPr="00415DF6">
              <w:rPr>
                <w:rFonts w:ascii="Arial" w:hAnsi="Arial" w:cs="Arial"/>
                <w:sz w:val="20"/>
                <w:szCs w:val="20"/>
              </w:rPr>
              <w:t>20% basic rate tax</w:t>
            </w:r>
          </w:p>
        </w:tc>
        <w:tc>
          <w:tcPr>
            <w:tcW w:w="2031" w:type="dxa"/>
            <w:tcBorders>
              <w:top w:val="single" w:sz="4" w:space="0" w:color="auto"/>
              <w:left w:val="single" w:sz="4" w:space="0" w:color="auto"/>
              <w:bottom w:val="single" w:sz="4" w:space="0" w:color="auto"/>
              <w:right w:val="single" w:sz="4" w:space="0" w:color="auto"/>
            </w:tcBorders>
            <w:noWrap/>
            <w:hideMark/>
          </w:tcPr>
          <w:p w14:paraId="4A1A5657" w14:textId="77777777" w:rsidR="00FE6CB9" w:rsidRPr="00423AD9" w:rsidRDefault="00FE6CB9" w:rsidP="00423AD9">
            <w:pPr>
              <w:jc w:val="right"/>
              <w:rPr>
                <w:rFonts w:ascii="Arial" w:hAnsi="Arial" w:cs="Arial"/>
                <w:sz w:val="20"/>
                <w:szCs w:val="20"/>
              </w:rPr>
            </w:pPr>
            <w:r w:rsidRPr="00423AD9">
              <w:rPr>
                <w:rFonts w:ascii="Arial" w:hAnsi="Arial" w:cs="Arial"/>
                <w:sz w:val="20"/>
                <w:szCs w:val="20"/>
              </w:rPr>
              <w:t>£12,571</w:t>
            </w:r>
            <w:r>
              <w:rPr>
                <w:rFonts w:ascii="Arial" w:hAnsi="Arial" w:cs="Arial"/>
                <w:sz w:val="20"/>
                <w:szCs w:val="20"/>
              </w:rPr>
              <w:t xml:space="preserve"> </w:t>
            </w:r>
            <w:r w:rsidRPr="00423AD9">
              <w:rPr>
                <w:rFonts w:ascii="Arial" w:hAnsi="Arial" w:cs="Arial"/>
                <w:sz w:val="20"/>
                <w:szCs w:val="20"/>
              </w:rPr>
              <w:t>-</w:t>
            </w:r>
            <w:r>
              <w:rPr>
                <w:rFonts w:ascii="Arial" w:hAnsi="Arial" w:cs="Arial"/>
                <w:sz w:val="20"/>
                <w:szCs w:val="20"/>
              </w:rPr>
              <w:t xml:space="preserve"> </w:t>
            </w:r>
            <w:r w:rsidRPr="00423AD9">
              <w:rPr>
                <w:rFonts w:ascii="Arial" w:hAnsi="Arial" w:cs="Arial"/>
                <w:sz w:val="20"/>
                <w:szCs w:val="20"/>
              </w:rPr>
              <w:t>£50,270</w:t>
            </w:r>
          </w:p>
        </w:tc>
        <w:tc>
          <w:tcPr>
            <w:tcW w:w="2271" w:type="dxa"/>
            <w:tcBorders>
              <w:top w:val="single" w:sz="4" w:space="0" w:color="auto"/>
              <w:left w:val="single" w:sz="4" w:space="0" w:color="auto"/>
              <w:bottom w:val="single" w:sz="4" w:space="0" w:color="auto"/>
              <w:right w:val="single" w:sz="4" w:space="0" w:color="auto"/>
            </w:tcBorders>
            <w:noWrap/>
            <w:hideMark/>
          </w:tcPr>
          <w:p w14:paraId="6F6F1EBF" w14:textId="77777777" w:rsidR="00FE6CB9" w:rsidRPr="00415DF6" w:rsidRDefault="00FE6CB9" w:rsidP="00423AD9">
            <w:pPr>
              <w:jc w:val="right"/>
              <w:rPr>
                <w:rFonts w:ascii="Arial" w:hAnsi="Arial" w:cs="Arial"/>
                <w:sz w:val="20"/>
                <w:szCs w:val="20"/>
              </w:rPr>
            </w:pPr>
            <w:r w:rsidRPr="00415DF6">
              <w:rPr>
                <w:rFonts w:ascii="Arial" w:hAnsi="Arial" w:cs="Arial"/>
                <w:sz w:val="20"/>
                <w:szCs w:val="20"/>
              </w:rPr>
              <w:t>£12,571</w:t>
            </w:r>
            <w:r>
              <w:rPr>
                <w:rFonts w:ascii="Arial" w:hAnsi="Arial" w:cs="Arial"/>
                <w:sz w:val="20"/>
                <w:szCs w:val="20"/>
              </w:rPr>
              <w:t xml:space="preserve"> </w:t>
            </w:r>
            <w:r w:rsidRPr="00415DF6">
              <w:rPr>
                <w:rFonts w:ascii="Arial" w:hAnsi="Arial" w:cs="Arial"/>
                <w:sz w:val="20"/>
                <w:szCs w:val="20"/>
              </w:rPr>
              <w:t>-</w:t>
            </w:r>
            <w:r>
              <w:rPr>
                <w:rFonts w:ascii="Arial" w:hAnsi="Arial" w:cs="Arial"/>
                <w:sz w:val="20"/>
                <w:szCs w:val="20"/>
              </w:rPr>
              <w:t xml:space="preserve"> </w:t>
            </w:r>
            <w:r w:rsidRPr="00415DF6">
              <w:rPr>
                <w:rFonts w:ascii="Arial" w:hAnsi="Arial" w:cs="Arial"/>
                <w:sz w:val="20"/>
                <w:szCs w:val="20"/>
              </w:rPr>
              <w:t>£50,270</w:t>
            </w:r>
          </w:p>
        </w:tc>
      </w:tr>
      <w:tr w:rsidR="00FE6CB9" w:rsidRPr="00415DF6" w14:paraId="2980DB52" w14:textId="77777777" w:rsidTr="00FE6CB9">
        <w:trPr>
          <w:trHeight w:val="315"/>
        </w:trPr>
        <w:tc>
          <w:tcPr>
            <w:tcW w:w="6086" w:type="dxa"/>
            <w:tcBorders>
              <w:top w:val="single" w:sz="4" w:space="0" w:color="auto"/>
              <w:left w:val="single" w:sz="4" w:space="0" w:color="auto"/>
              <w:bottom w:val="single" w:sz="4" w:space="0" w:color="auto"/>
              <w:right w:val="single" w:sz="4" w:space="0" w:color="auto"/>
            </w:tcBorders>
            <w:noWrap/>
            <w:hideMark/>
          </w:tcPr>
          <w:p w14:paraId="0BEE1579" w14:textId="77777777" w:rsidR="00FE6CB9" w:rsidRPr="00415DF6" w:rsidRDefault="00FE6CB9" w:rsidP="00423AD9">
            <w:pPr>
              <w:rPr>
                <w:rFonts w:ascii="Arial" w:hAnsi="Arial" w:cs="Arial"/>
                <w:sz w:val="20"/>
                <w:szCs w:val="20"/>
              </w:rPr>
            </w:pPr>
            <w:r w:rsidRPr="00415DF6">
              <w:rPr>
                <w:rFonts w:ascii="Arial" w:hAnsi="Arial" w:cs="Arial"/>
                <w:sz w:val="20"/>
                <w:szCs w:val="20"/>
              </w:rPr>
              <w:t>40% higher rate tax</w:t>
            </w:r>
          </w:p>
        </w:tc>
        <w:tc>
          <w:tcPr>
            <w:tcW w:w="2031" w:type="dxa"/>
            <w:tcBorders>
              <w:top w:val="single" w:sz="4" w:space="0" w:color="auto"/>
              <w:left w:val="single" w:sz="4" w:space="0" w:color="auto"/>
              <w:bottom w:val="single" w:sz="4" w:space="0" w:color="auto"/>
              <w:right w:val="single" w:sz="4" w:space="0" w:color="auto"/>
            </w:tcBorders>
            <w:noWrap/>
            <w:hideMark/>
          </w:tcPr>
          <w:p w14:paraId="47BA6B45" w14:textId="77777777" w:rsidR="00FE6CB9" w:rsidRPr="00423AD9" w:rsidRDefault="00FE6CB9" w:rsidP="00423AD9">
            <w:pPr>
              <w:jc w:val="right"/>
              <w:rPr>
                <w:rFonts w:ascii="Arial" w:hAnsi="Arial" w:cs="Arial"/>
                <w:sz w:val="20"/>
                <w:szCs w:val="20"/>
              </w:rPr>
            </w:pPr>
            <w:r w:rsidRPr="00423AD9">
              <w:rPr>
                <w:rFonts w:ascii="Arial" w:hAnsi="Arial" w:cs="Arial"/>
                <w:sz w:val="20"/>
                <w:szCs w:val="20"/>
              </w:rPr>
              <w:t>£50,271</w:t>
            </w:r>
            <w:r>
              <w:rPr>
                <w:rFonts w:ascii="Arial" w:hAnsi="Arial" w:cs="Arial"/>
                <w:sz w:val="20"/>
                <w:szCs w:val="20"/>
              </w:rPr>
              <w:t xml:space="preserve"> </w:t>
            </w:r>
            <w:r w:rsidRPr="00423AD9">
              <w:rPr>
                <w:rFonts w:ascii="Arial" w:hAnsi="Arial" w:cs="Arial"/>
                <w:sz w:val="20"/>
                <w:szCs w:val="20"/>
              </w:rPr>
              <w:t>-</w:t>
            </w:r>
            <w:r>
              <w:rPr>
                <w:rFonts w:ascii="Arial" w:hAnsi="Arial" w:cs="Arial"/>
                <w:sz w:val="20"/>
                <w:szCs w:val="20"/>
              </w:rPr>
              <w:t xml:space="preserve"> </w:t>
            </w:r>
            <w:r w:rsidRPr="00423AD9">
              <w:rPr>
                <w:rFonts w:ascii="Arial" w:hAnsi="Arial" w:cs="Arial"/>
                <w:sz w:val="20"/>
                <w:szCs w:val="20"/>
              </w:rPr>
              <w:t>£125.140</w:t>
            </w:r>
          </w:p>
        </w:tc>
        <w:tc>
          <w:tcPr>
            <w:tcW w:w="2271" w:type="dxa"/>
            <w:tcBorders>
              <w:top w:val="single" w:sz="4" w:space="0" w:color="auto"/>
              <w:left w:val="single" w:sz="4" w:space="0" w:color="auto"/>
              <w:bottom w:val="single" w:sz="4" w:space="0" w:color="auto"/>
              <w:right w:val="single" w:sz="4" w:space="0" w:color="auto"/>
            </w:tcBorders>
            <w:noWrap/>
            <w:hideMark/>
          </w:tcPr>
          <w:p w14:paraId="55B20544" w14:textId="77777777" w:rsidR="00FE6CB9" w:rsidRPr="00415DF6" w:rsidRDefault="00FE6CB9" w:rsidP="00423AD9">
            <w:pPr>
              <w:jc w:val="right"/>
              <w:rPr>
                <w:rFonts w:ascii="Arial" w:hAnsi="Arial" w:cs="Arial"/>
                <w:sz w:val="20"/>
                <w:szCs w:val="20"/>
              </w:rPr>
            </w:pPr>
            <w:r w:rsidRPr="00415DF6">
              <w:rPr>
                <w:rFonts w:ascii="Arial" w:hAnsi="Arial" w:cs="Arial"/>
                <w:sz w:val="20"/>
                <w:szCs w:val="20"/>
              </w:rPr>
              <w:t>£50,271</w:t>
            </w:r>
            <w:r>
              <w:rPr>
                <w:rFonts w:ascii="Arial" w:hAnsi="Arial" w:cs="Arial"/>
                <w:sz w:val="20"/>
                <w:szCs w:val="20"/>
              </w:rPr>
              <w:t xml:space="preserve"> </w:t>
            </w:r>
            <w:r w:rsidRPr="00415DF6">
              <w:rPr>
                <w:rFonts w:ascii="Arial" w:hAnsi="Arial" w:cs="Arial"/>
                <w:sz w:val="20"/>
                <w:szCs w:val="20"/>
              </w:rPr>
              <w:t>-</w:t>
            </w:r>
            <w:r>
              <w:rPr>
                <w:rFonts w:ascii="Arial" w:hAnsi="Arial" w:cs="Arial"/>
                <w:sz w:val="20"/>
                <w:szCs w:val="20"/>
              </w:rPr>
              <w:t xml:space="preserve"> </w:t>
            </w:r>
            <w:r w:rsidRPr="00415DF6">
              <w:rPr>
                <w:rFonts w:ascii="Arial" w:hAnsi="Arial" w:cs="Arial"/>
                <w:sz w:val="20"/>
                <w:szCs w:val="20"/>
              </w:rPr>
              <w:t>£125.140</w:t>
            </w:r>
          </w:p>
        </w:tc>
      </w:tr>
      <w:tr w:rsidR="00FE6CB9" w:rsidRPr="00415DF6" w14:paraId="05D9F213" w14:textId="77777777" w:rsidTr="00FE6CB9">
        <w:trPr>
          <w:trHeight w:val="315"/>
        </w:trPr>
        <w:tc>
          <w:tcPr>
            <w:tcW w:w="6086" w:type="dxa"/>
            <w:tcBorders>
              <w:top w:val="single" w:sz="4" w:space="0" w:color="auto"/>
              <w:left w:val="single" w:sz="4" w:space="0" w:color="auto"/>
              <w:bottom w:val="single" w:sz="4" w:space="0" w:color="auto"/>
              <w:right w:val="single" w:sz="4" w:space="0" w:color="auto"/>
            </w:tcBorders>
            <w:noWrap/>
            <w:hideMark/>
          </w:tcPr>
          <w:p w14:paraId="4F6A958E" w14:textId="77777777" w:rsidR="00FE6CB9" w:rsidRPr="00415DF6" w:rsidRDefault="00FE6CB9" w:rsidP="00423AD9">
            <w:pPr>
              <w:rPr>
                <w:rFonts w:ascii="Arial" w:hAnsi="Arial" w:cs="Arial"/>
                <w:sz w:val="20"/>
                <w:szCs w:val="20"/>
              </w:rPr>
            </w:pPr>
            <w:r w:rsidRPr="00415DF6">
              <w:rPr>
                <w:rFonts w:ascii="Arial" w:hAnsi="Arial" w:cs="Arial"/>
                <w:sz w:val="20"/>
                <w:szCs w:val="20"/>
              </w:rPr>
              <w:t>45% additional rate tax</w:t>
            </w:r>
          </w:p>
        </w:tc>
        <w:tc>
          <w:tcPr>
            <w:tcW w:w="2031" w:type="dxa"/>
            <w:tcBorders>
              <w:top w:val="single" w:sz="4" w:space="0" w:color="auto"/>
              <w:left w:val="single" w:sz="4" w:space="0" w:color="auto"/>
              <w:bottom w:val="single" w:sz="4" w:space="0" w:color="auto"/>
              <w:right w:val="single" w:sz="4" w:space="0" w:color="auto"/>
            </w:tcBorders>
            <w:noWrap/>
            <w:hideMark/>
          </w:tcPr>
          <w:p w14:paraId="46F84E57" w14:textId="77777777" w:rsidR="00FE6CB9" w:rsidRPr="00423AD9" w:rsidRDefault="00FE6CB9" w:rsidP="00423AD9">
            <w:pPr>
              <w:jc w:val="right"/>
              <w:rPr>
                <w:rFonts w:ascii="Arial" w:hAnsi="Arial" w:cs="Arial"/>
                <w:sz w:val="20"/>
                <w:szCs w:val="20"/>
              </w:rPr>
            </w:pPr>
            <w:r w:rsidRPr="00423AD9">
              <w:rPr>
                <w:rFonts w:ascii="Arial" w:hAnsi="Arial" w:cs="Arial"/>
                <w:sz w:val="20"/>
                <w:szCs w:val="20"/>
              </w:rPr>
              <w:t>Above £125,140</w:t>
            </w:r>
          </w:p>
        </w:tc>
        <w:tc>
          <w:tcPr>
            <w:tcW w:w="2271" w:type="dxa"/>
            <w:tcBorders>
              <w:top w:val="single" w:sz="4" w:space="0" w:color="auto"/>
              <w:left w:val="single" w:sz="4" w:space="0" w:color="auto"/>
              <w:bottom w:val="single" w:sz="4" w:space="0" w:color="auto"/>
              <w:right w:val="single" w:sz="4" w:space="0" w:color="auto"/>
            </w:tcBorders>
            <w:noWrap/>
            <w:hideMark/>
          </w:tcPr>
          <w:p w14:paraId="3EE22CB5" w14:textId="77777777" w:rsidR="00FE6CB9" w:rsidRPr="00415DF6" w:rsidRDefault="00FE6CB9" w:rsidP="00423AD9">
            <w:pPr>
              <w:jc w:val="right"/>
              <w:rPr>
                <w:rFonts w:ascii="Arial" w:hAnsi="Arial" w:cs="Arial"/>
                <w:sz w:val="20"/>
                <w:szCs w:val="20"/>
              </w:rPr>
            </w:pPr>
            <w:r w:rsidRPr="00415DF6">
              <w:rPr>
                <w:rFonts w:ascii="Arial" w:hAnsi="Arial" w:cs="Arial"/>
                <w:sz w:val="20"/>
                <w:szCs w:val="20"/>
              </w:rPr>
              <w:t>Above £125,140</w:t>
            </w:r>
          </w:p>
        </w:tc>
      </w:tr>
      <w:tr w:rsidR="00FE6CB9" w:rsidRPr="00415DF6" w14:paraId="1309AA20" w14:textId="77777777" w:rsidTr="00FE6CB9">
        <w:trPr>
          <w:trHeight w:val="315"/>
        </w:trPr>
        <w:tc>
          <w:tcPr>
            <w:tcW w:w="10388" w:type="dxa"/>
            <w:gridSpan w:val="3"/>
            <w:tcBorders>
              <w:top w:val="single" w:sz="4" w:space="0" w:color="auto"/>
              <w:left w:val="single" w:sz="4" w:space="0" w:color="auto"/>
              <w:bottom w:val="single" w:sz="4" w:space="0" w:color="auto"/>
              <w:right w:val="single" w:sz="4" w:space="0" w:color="auto"/>
            </w:tcBorders>
            <w:shd w:val="clear" w:color="auto" w:fill="4273AF" w:themeFill="accent1" w:themeFillShade="E6"/>
            <w:noWrap/>
            <w:hideMark/>
          </w:tcPr>
          <w:p w14:paraId="208E6D73" w14:textId="519B9E48" w:rsidR="00FE6CB9" w:rsidRPr="00415DF6" w:rsidRDefault="00FE6CB9" w:rsidP="00423AD9">
            <w:pPr>
              <w:rPr>
                <w:rFonts w:ascii="Arial" w:hAnsi="Arial" w:cs="Arial"/>
                <w:b/>
                <w:bCs/>
                <w:sz w:val="20"/>
                <w:szCs w:val="20"/>
              </w:rPr>
            </w:pPr>
            <w:r w:rsidRPr="00415DF6">
              <w:rPr>
                <w:rFonts w:ascii="Arial" w:hAnsi="Arial" w:cs="Arial"/>
                <w:b/>
                <w:bCs/>
                <w:sz w:val="20"/>
                <w:szCs w:val="20"/>
              </w:rPr>
              <w:t xml:space="preserve">Scottish rates of income tax (non-dividend </w:t>
            </w:r>
            <w:proofErr w:type="gramStart"/>
            <w:r w:rsidRPr="00415DF6">
              <w:rPr>
                <w:rFonts w:ascii="Arial" w:hAnsi="Arial" w:cs="Arial"/>
                <w:b/>
                <w:bCs/>
                <w:sz w:val="20"/>
                <w:szCs w:val="20"/>
              </w:rPr>
              <w:t xml:space="preserve">income)   </w:t>
            </w:r>
            <w:proofErr w:type="gramEnd"/>
            <w:r w:rsidRPr="00415DF6">
              <w:rPr>
                <w:rFonts w:ascii="Arial" w:hAnsi="Arial" w:cs="Arial"/>
                <w:b/>
                <w:bCs/>
                <w:sz w:val="20"/>
                <w:szCs w:val="20"/>
              </w:rPr>
              <w:t xml:space="preserve">                                  </w:t>
            </w:r>
          </w:p>
        </w:tc>
      </w:tr>
      <w:tr w:rsidR="00517B03" w:rsidRPr="00415DF6" w14:paraId="4CD91D16" w14:textId="77777777" w:rsidTr="00FE6CB9">
        <w:trPr>
          <w:trHeight w:val="315"/>
        </w:trPr>
        <w:tc>
          <w:tcPr>
            <w:tcW w:w="6086" w:type="dxa"/>
            <w:tcBorders>
              <w:top w:val="single" w:sz="4" w:space="0" w:color="auto"/>
              <w:left w:val="single" w:sz="4" w:space="0" w:color="auto"/>
              <w:bottom w:val="single" w:sz="4" w:space="0" w:color="auto"/>
              <w:right w:val="single" w:sz="4" w:space="0" w:color="auto"/>
            </w:tcBorders>
            <w:noWrap/>
          </w:tcPr>
          <w:p w14:paraId="7A79A991" w14:textId="74404F60" w:rsidR="00517B03" w:rsidRPr="00415DF6" w:rsidRDefault="00517B03" w:rsidP="00517B03">
            <w:pPr>
              <w:rPr>
                <w:rFonts w:ascii="Arial" w:hAnsi="Arial" w:cs="Arial"/>
                <w:sz w:val="20"/>
                <w:szCs w:val="20"/>
              </w:rPr>
            </w:pPr>
            <w:r>
              <w:rPr>
                <w:rFonts w:ascii="Arial" w:hAnsi="Arial" w:cs="Arial"/>
                <w:sz w:val="20"/>
                <w:szCs w:val="20"/>
              </w:rPr>
              <w:t>0% on personal allowance (subject to any clawback of PA)</w:t>
            </w:r>
          </w:p>
        </w:tc>
        <w:tc>
          <w:tcPr>
            <w:tcW w:w="2031" w:type="dxa"/>
            <w:tcBorders>
              <w:top w:val="single" w:sz="4" w:space="0" w:color="auto"/>
              <w:left w:val="single" w:sz="4" w:space="0" w:color="auto"/>
              <w:bottom w:val="single" w:sz="4" w:space="0" w:color="auto"/>
              <w:right w:val="single" w:sz="4" w:space="0" w:color="auto"/>
            </w:tcBorders>
          </w:tcPr>
          <w:p w14:paraId="286B1265" w14:textId="33DC8DBD" w:rsidR="00517B03" w:rsidRPr="00423AD9" w:rsidRDefault="00517B03" w:rsidP="00517B03">
            <w:pPr>
              <w:jc w:val="right"/>
              <w:rPr>
                <w:rFonts w:ascii="Arial" w:hAnsi="Arial" w:cs="Arial"/>
                <w:sz w:val="20"/>
                <w:szCs w:val="20"/>
              </w:rPr>
            </w:pPr>
            <w:r>
              <w:rPr>
                <w:rFonts w:ascii="Arial" w:hAnsi="Arial" w:cs="Arial"/>
                <w:sz w:val="20"/>
                <w:szCs w:val="20"/>
              </w:rPr>
              <w:t>£0 - £12,570</w:t>
            </w:r>
          </w:p>
        </w:tc>
        <w:tc>
          <w:tcPr>
            <w:tcW w:w="2271" w:type="dxa"/>
            <w:tcBorders>
              <w:top w:val="single" w:sz="4" w:space="0" w:color="auto"/>
              <w:left w:val="single" w:sz="4" w:space="0" w:color="auto"/>
              <w:bottom w:val="single" w:sz="4" w:space="0" w:color="auto"/>
              <w:right w:val="single" w:sz="4" w:space="0" w:color="auto"/>
            </w:tcBorders>
          </w:tcPr>
          <w:p w14:paraId="2EAD63C4" w14:textId="53C9DDB7" w:rsidR="00517B03" w:rsidRPr="00415DF6" w:rsidRDefault="00517B03" w:rsidP="00517B03">
            <w:pPr>
              <w:jc w:val="right"/>
              <w:rPr>
                <w:rFonts w:ascii="Arial" w:hAnsi="Arial" w:cs="Arial"/>
                <w:sz w:val="20"/>
                <w:szCs w:val="20"/>
              </w:rPr>
            </w:pPr>
            <w:r>
              <w:rPr>
                <w:rFonts w:ascii="Arial" w:hAnsi="Arial" w:cs="Arial"/>
                <w:sz w:val="20"/>
                <w:szCs w:val="20"/>
              </w:rPr>
              <w:t>£0 - £12,570</w:t>
            </w:r>
          </w:p>
        </w:tc>
      </w:tr>
      <w:tr w:rsidR="00517B03" w:rsidRPr="00415DF6" w14:paraId="758DD57E" w14:textId="77777777" w:rsidTr="00FE6CB9">
        <w:trPr>
          <w:trHeight w:val="315"/>
        </w:trPr>
        <w:tc>
          <w:tcPr>
            <w:tcW w:w="6086" w:type="dxa"/>
            <w:tcBorders>
              <w:top w:val="single" w:sz="4" w:space="0" w:color="auto"/>
              <w:left w:val="single" w:sz="4" w:space="0" w:color="auto"/>
              <w:bottom w:val="single" w:sz="4" w:space="0" w:color="auto"/>
              <w:right w:val="single" w:sz="4" w:space="0" w:color="auto"/>
            </w:tcBorders>
            <w:noWrap/>
            <w:hideMark/>
          </w:tcPr>
          <w:p w14:paraId="74D03CD4" w14:textId="77777777" w:rsidR="00517B03" w:rsidRPr="00415DF6" w:rsidRDefault="00517B03" w:rsidP="00517B03">
            <w:pPr>
              <w:rPr>
                <w:rFonts w:ascii="Arial" w:hAnsi="Arial" w:cs="Arial"/>
                <w:sz w:val="20"/>
                <w:szCs w:val="20"/>
              </w:rPr>
            </w:pPr>
            <w:r w:rsidRPr="00415DF6">
              <w:rPr>
                <w:rFonts w:ascii="Arial" w:hAnsi="Arial" w:cs="Arial"/>
                <w:sz w:val="20"/>
                <w:szCs w:val="20"/>
              </w:rPr>
              <w:t xml:space="preserve">19% starting rate </w:t>
            </w:r>
          </w:p>
        </w:tc>
        <w:tc>
          <w:tcPr>
            <w:tcW w:w="2031" w:type="dxa"/>
            <w:tcBorders>
              <w:top w:val="single" w:sz="4" w:space="0" w:color="auto"/>
              <w:left w:val="single" w:sz="4" w:space="0" w:color="auto"/>
              <w:bottom w:val="single" w:sz="4" w:space="0" w:color="auto"/>
              <w:right w:val="single" w:sz="4" w:space="0" w:color="auto"/>
            </w:tcBorders>
          </w:tcPr>
          <w:p w14:paraId="73BA7B7C" w14:textId="77777777" w:rsidR="00517B03" w:rsidRPr="00423AD9" w:rsidRDefault="00517B03" w:rsidP="00517B03">
            <w:pPr>
              <w:jc w:val="right"/>
              <w:rPr>
                <w:rFonts w:ascii="Arial" w:hAnsi="Arial" w:cs="Arial"/>
                <w:sz w:val="20"/>
                <w:szCs w:val="20"/>
              </w:rPr>
            </w:pPr>
            <w:r w:rsidRPr="00423AD9">
              <w:rPr>
                <w:rFonts w:ascii="Arial" w:hAnsi="Arial" w:cs="Arial"/>
                <w:sz w:val="20"/>
                <w:szCs w:val="20"/>
              </w:rPr>
              <w:t>£12,571</w:t>
            </w:r>
            <w:r>
              <w:rPr>
                <w:rFonts w:ascii="Arial" w:hAnsi="Arial" w:cs="Arial"/>
                <w:sz w:val="20"/>
                <w:szCs w:val="20"/>
              </w:rPr>
              <w:t xml:space="preserve"> </w:t>
            </w:r>
            <w:r w:rsidRPr="00423AD9">
              <w:rPr>
                <w:rFonts w:ascii="Arial" w:hAnsi="Arial" w:cs="Arial"/>
                <w:sz w:val="20"/>
                <w:szCs w:val="20"/>
              </w:rPr>
              <w:t>-</w:t>
            </w:r>
            <w:r>
              <w:rPr>
                <w:rFonts w:ascii="Arial" w:hAnsi="Arial" w:cs="Arial"/>
                <w:sz w:val="20"/>
                <w:szCs w:val="20"/>
              </w:rPr>
              <w:t xml:space="preserve"> </w:t>
            </w:r>
            <w:r w:rsidRPr="00423AD9">
              <w:rPr>
                <w:rFonts w:ascii="Arial" w:hAnsi="Arial" w:cs="Arial"/>
                <w:sz w:val="20"/>
                <w:szCs w:val="20"/>
              </w:rPr>
              <w:t>£14,876</w:t>
            </w:r>
          </w:p>
        </w:tc>
        <w:tc>
          <w:tcPr>
            <w:tcW w:w="2271" w:type="dxa"/>
            <w:tcBorders>
              <w:top w:val="single" w:sz="4" w:space="0" w:color="auto"/>
              <w:left w:val="single" w:sz="4" w:space="0" w:color="auto"/>
              <w:bottom w:val="single" w:sz="4" w:space="0" w:color="auto"/>
              <w:right w:val="single" w:sz="4" w:space="0" w:color="auto"/>
            </w:tcBorders>
            <w:hideMark/>
          </w:tcPr>
          <w:p w14:paraId="54204898" w14:textId="77777777" w:rsidR="00517B03" w:rsidRPr="00415DF6" w:rsidRDefault="00517B03" w:rsidP="00517B03">
            <w:pPr>
              <w:jc w:val="right"/>
              <w:rPr>
                <w:rFonts w:ascii="Arial" w:hAnsi="Arial" w:cs="Arial"/>
                <w:sz w:val="20"/>
                <w:szCs w:val="20"/>
              </w:rPr>
            </w:pPr>
            <w:r w:rsidRPr="00415DF6">
              <w:rPr>
                <w:rFonts w:ascii="Arial" w:hAnsi="Arial" w:cs="Arial"/>
                <w:sz w:val="20"/>
                <w:szCs w:val="20"/>
              </w:rPr>
              <w:t>£12,571</w:t>
            </w:r>
            <w:r>
              <w:rPr>
                <w:rFonts w:ascii="Arial" w:hAnsi="Arial" w:cs="Arial"/>
                <w:sz w:val="20"/>
                <w:szCs w:val="20"/>
              </w:rPr>
              <w:t xml:space="preserve"> </w:t>
            </w:r>
            <w:r w:rsidRPr="00415DF6">
              <w:rPr>
                <w:rFonts w:ascii="Arial" w:hAnsi="Arial" w:cs="Arial"/>
                <w:sz w:val="20"/>
                <w:szCs w:val="20"/>
              </w:rPr>
              <w:t>-</w:t>
            </w:r>
            <w:r>
              <w:rPr>
                <w:rFonts w:ascii="Arial" w:hAnsi="Arial" w:cs="Arial"/>
                <w:sz w:val="20"/>
                <w:szCs w:val="20"/>
              </w:rPr>
              <w:t xml:space="preserve"> </w:t>
            </w:r>
            <w:r w:rsidRPr="00415DF6">
              <w:rPr>
                <w:rFonts w:ascii="Arial" w:hAnsi="Arial" w:cs="Arial"/>
                <w:sz w:val="20"/>
                <w:szCs w:val="20"/>
              </w:rPr>
              <w:t>£14,732</w:t>
            </w:r>
          </w:p>
        </w:tc>
      </w:tr>
      <w:tr w:rsidR="00517B03" w:rsidRPr="00415DF6" w14:paraId="02A62434" w14:textId="77777777" w:rsidTr="00FE6CB9">
        <w:trPr>
          <w:trHeight w:val="315"/>
        </w:trPr>
        <w:tc>
          <w:tcPr>
            <w:tcW w:w="6086" w:type="dxa"/>
            <w:tcBorders>
              <w:top w:val="single" w:sz="4" w:space="0" w:color="auto"/>
              <w:left w:val="single" w:sz="4" w:space="0" w:color="auto"/>
              <w:bottom w:val="single" w:sz="4" w:space="0" w:color="auto"/>
              <w:right w:val="single" w:sz="4" w:space="0" w:color="auto"/>
            </w:tcBorders>
            <w:noWrap/>
            <w:hideMark/>
          </w:tcPr>
          <w:p w14:paraId="5D4440A7" w14:textId="77777777" w:rsidR="00517B03" w:rsidRPr="00415DF6" w:rsidRDefault="00517B03" w:rsidP="00517B03">
            <w:pPr>
              <w:rPr>
                <w:rFonts w:ascii="Arial" w:hAnsi="Arial" w:cs="Arial"/>
                <w:sz w:val="20"/>
                <w:szCs w:val="20"/>
              </w:rPr>
            </w:pPr>
            <w:r w:rsidRPr="00415DF6">
              <w:rPr>
                <w:rFonts w:ascii="Arial" w:hAnsi="Arial" w:cs="Arial"/>
                <w:sz w:val="20"/>
                <w:szCs w:val="20"/>
              </w:rPr>
              <w:t>20% basic rate tax</w:t>
            </w:r>
          </w:p>
        </w:tc>
        <w:tc>
          <w:tcPr>
            <w:tcW w:w="2031" w:type="dxa"/>
            <w:tcBorders>
              <w:top w:val="single" w:sz="4" w:space="0" w:color="auto"/>
              <w:left w:val="single" w:sz="4" w:space="0" w:color="auto"/>
              <w:bottom w:val="single" w:sz="4" w:space="0" w:color="auto"/>
              <w:right w:val="single" w:sz="4" w:space="0" w:color="auto"/>
            </w:tcBorders>
          </w:tcPr>
          <w:p w14:paraId="1E712681" w14:textId="77777777" w:rsidR="00517B03" w:rsidRPr="00423AD9" w:rsidRDefault="00517B03" w:rsidP="00517B03">
            <w:pPr>
              <w:jc w:val="right"/>
              <w:rPr>
                <w:rFonts w:ascii="Arial" w:hAnsi="Arial" w:cs="Arial"/>
                <w:sz w:val="20"/>
                <w:szCs w:val="20"/>
              </w:rPr>
            </w:pPr>
            <w:r w:rsidRPr="00423AD9">
              <w:rPr>
                <w:rFonts w:ascii="Arial" w:hAnsi="Arial" w:cs="Arial"/>
                <w:sz w:val="20"/>
                <w:szCs w:val="20"/>
              </w:rPr>
              <w:t>£14,877</w:t>
            </w:r>
            <w:r>
              <w:rPr>
                <w:rFonts w:ascii="Arial" w:hAnsi="Arial" w:cs="Arial"/>
                <w:sz w:val="20"/>
                <w:szCs w:val="20"/>
              </w:rPr>
              <w:t xml:space="preserve"> </w:t>
            </w:r>
            <w:r w:rsidRPr="00423AD9">
              <w:rPr>
                <w:rFonts w:ascii="Arial" w:hAnsi="Arial" w:cs="Arial"/>
                <w:sz w:val="20"/>
                <w:szCs w:val="20"/>
              </w:rPr>
              <w:t>-</w:t>
            </w:r>
            <w:r>
              <w:rPr>
                <w:rFonts w:ascii="Arial" w:hAnsi="Arial" w:cs="Arial"/>
                <w:sz w:val="20"/>
                <w:szCs w:val="20"/>
              </w:rPr>
              <w:t xml:space="preserve"> </w:t>
            </w:r>
            <w:r w:rsidRPr="00423AD9">
              <w:rPr>
                <w:rFonts w:ascii="Arial" w:hAnsi="Arial" w:cs="Arial"/>
                <w:sz w:val="20"/>
                <w:szCs w:val="20"/>
              </w:rPr>
              <w:t>£26,561</w:t>
            </w:r>
          </w:p>
        </w:tc>
        <w:tc>
          <w:tcPr>
            <w:tcW w:w="2271" w:type="dxa"/>
            <w:tcBorders>
              <w:top w:val="single" w:sz="4" w:space="0" w:color="auto"/>
              <w:left w:val="single" w:sz="4" w:space="0" w:color="auto"/>
              <w:bottom w:val="single" w:sz="4" w:space="0" w:color="auto"/>
              <w:right w:val="single" w:sz="4" w:space="0" w:color="auto"/>
            </w:tcBorders>
            <w:hideMark/>
          </w:tcPr>
          <w:p w14:paraId="75DEE28D" w14:textId="77777777" w:rsidR="00517B03" w:rsidRPr="00415DF6" w:rsidRDefault="00517B03" w:rsidP="00517B03">
            <w:pPr>
              <w:jc w:val="right"/>
              <w:rPr>
                <w:rFonts w:ascii="Arial" w:hAnsi="Arial" w:cs="Arial"/>
                <w:sz w:val="20"/>
                <w:szCs w:val="20"/>
              </w:rPr>
            </w:pPr>
            <w:r w:rsidRPr="00415DF6">
              <w:rPr>
                <w:rFonts w:ascii="Arial" w:hAnsi="Arial" w:cs="Arial"/>
                <w:sz w:val="20"/>
                <w:szCs w:val="20"/>
              </w:rPr>
              <w:t>£14,733</w:t>
            </w:r>
            <w:r>
              <w:rPr>
                <w:rFonts w:ascii="Arial" w:hAnsi="Arial" w:cs="Arial"/>
                <w:sz w:val="20"/>
                <w:szCs w:val="20"/>
              </w:rPr>
              <w:t xml:space="preserve"> </w:t>
            </w:r>
            <w:r w:rsidRPr="00415DF6">
              <w:rPr>
                <w:rFonts w:ascii="Arial" w:hAnsi="Arial" w:cs="Arial"/>
                <w:sz w:val="20"/>
                <w:szCs w:val="20"/>
              </w:rPr>
              <w:t>-</w:t>
            </w:r>
            <w:r>
              <w:rPr>
                <w:rFonts w:ascii="Arial" w:hAnsi="Arial" w:cs="Arial"/>
                <w:sz w:val="20"/>
                <w:szCs w:val="20"/>
              </w:rPr>
              <w:t xml:space="preserve"> </w:t>
            </w:r>
            <w:r w:rsidRPr="00415DF6">
              <w:rPr>
                <w:rFonts w:ascii="Arial" w:hAnsi="Arial" w:cs="Arial"/>
                <w:sz w:val="20"/>
                <w:szCs w:val="20"/>
              </w:rPr>
              <w:t>£25,688</w:t>
            </w:r>
          </w:p>
        </w:tc>
      </w:tr>
      <w:tr w:rsidR="00517B03" w:rsidRPr="00415DF6" w14:paraId="080DA9CD" w14:textId="77777777" w:rsidTr="00FE6CB9">
        <w:trPr>
          <w:trHeight w:val="315"/>
        </w:trPr>
        <w:tc>
          <w:tcPr>
            <w:tcW w:w="6086" w:type="dxa"/>
            <w:tcBorders>
              <w:top w:val="single" w:sz="4" w:space="0" w:color="auto"/>
              <w:left w:val="single" w:sz="4" w:space="0" w:color="auto"/>
              <w:bottom w:val="single" w:sz="4" w:space="0" w:color="auto"/>
              <w:right w:val="single" w:sz="4" w:space="0" w:color="auto"/>
            </w:tcBorders>
            <w:noWrap/>
            <w:hideMark/>
          </w:tcPr>
          <w:p w14:paraId="3AC77E70" w14:textId="77777777" w:rsidR="00517B03" w:rsidRPr="00415DF6" w:rsidRDefault="00517B03" w:rsidP="00517B03">
            <w:pPr>
              <w:rPr>
                <w:rFonts w:ascii="Arial" w:hAnsi="Arial" w:cs="Arial"/>
                <w:sz w:val="20"/>
                <w:szCs w:val="20"/>
              </w:rPr>
            </w:pPr>
            <w:r w:rsidRPr="00415DF6">
              <w:rPr>
                <w:rFonts w:ascii="Arial" w:hAnsi="Arial" w:cs="Arial"/>
                <w:sz w:val="20"/>
                <w:szCs w:val="20"/>
              </w:rPr>
              <w:t>21% intermediate rate tax</w:t>
            </w:r>
          </w:p>
        </w:tc>
        <w:tc>
          <w:tcPr>
            <w:tcW w:w="2031" w:type="dxa"/>
            <w:tcBorders>
              <w:top w:val="single" w:sz="4" w:space="0" w:color="auto"/>
              <w:left w:val="single" w:sz="4" w:space="0" w:color="auto"/>
              <w:bottom w:val="single" w:sz="4" w:space="0" w:color="auto"/>
              <w:right w:val="single" w:sz="4" w:space="0" w:color="auto"/>
            </w:tcBorders>
          </w:tcPr>
          <w:p w14:paraId="124A543A" w14:textId="77777777" w:rsidR="00517B03" w:rsidRPr="00423AD9" w:rsidRDefault="00517B03" w:rsidP="00517B03">
            <w:pPr>
              <w:jc w:val="right"/>
              <w:rPr>
                <w:rFonts w:ascii="Arial" w:hAnsi="Arial" w:cs="Arial"/>
                <w:sz w:val="20"/>
                <w:szCs w:val="20"/>
              </w:rPr>
            </w:pPr>
            <w:r w:rsidRPr="00423AD9">
              <w:rPr>
                <w:rFonts w:ascii="Arial" w:hAnsi="Arial" w:cs="Arial"/>
                <w:sz w:val="20"/>
                <w:szCs w:val="20"/>
              </w:rPr>
              <w:t>£26,562</w:t>
            </w:r>
            <w:r>
              <w:rPr>
                <w:rFonts w:ascii="Arial" w:hAnsi="Arial" w:cs="Arial"/>
                <w:sz w:val="20"/>
                <w:szCs w:val="20"/>
              </w:rPr>
              <w:t xml:space="preserve"> </w:t>
            </w:r>
            <w:r w:rsidRPr="00423AD9">
              <w:rPr>
                <w:rFonts w:ascii="Arial" w:hAnsi="Arial" w:cs="Arial"/>
                <w:sz w:val="20"/>
                <w:szCs w:val="20"/>
              </w:rPr>
              <w:t>-</w:t>
            </w:r>
            <w:r>
              <w:rPr>
                <w:rFonts w:ascii="Arial" w:hAnsi="Arial" w:cs="Arial"/>
                <w:sz w:val="20"/>
                <w:szCs w:val="20"/>
              </w:rPr>
              <w:t xml:space="preserve"> </w:t>
            </w:r>
            <w:r w:rsidRPr="00423AD9">
              <w:rPr>
                <w:rFonts w:ascii="Arial" w:hAnsi="Arial" w:cs="Arial"/>
                <w:sz w:val="20"/>
                <w:szCs w:val="20"/>
              </w:rPr>
              <w:t>£43,662</w:t>
            </w:r>
          </w:p>
        </w:tc>
        <w:tc>
          <w:tcPr>
            <w:tcW w:w="2271" w:type="dxa"/>
            <w:tcBorders>
              <w:top w:val="single" w:sz="4" w:space="0" w:color="auto"/>
              <w:left w:val="single" w:sz="4" w:space="0" w:color="auto"/>
              <w:bottom w:val="single" w:sz="4" w:space="0" w:color="auto"/>
              <w:right w:val="single" w:sz="4" w:space="0" w:color="auto"/>
            </w:tcBorders>
            <w:hideMark/>
          </w:tcPr>
          <w:p w14:paraId="488DEEC4" w14:textId="77777777" w:rsidR="00517B03" w:rsidRPr="00415DF6" w:rsidRDefault="00517B03" w:rsidP="00517B03">
            <w:pPr>
              <w:jc w:val="right"/>
              <w:rPr>
                <w:rFonts w:ascii="Arial" w:hAnsi="Arial" w:cs="Arial"/>
                <w:sz w:val="20"/>
                <w:szCs w:val="20"/>
              </w:rPr>
            </w:pPr>
            <w:r w:rsidRPr="00415DF6">
              <w:rPr>
                <w:rFonts w:ascii="Arial" w:hAnsi="Arial" w:cs="Arial"/>
                <w:sz w:val="20"/>
                <w:szCs w:val="20"/>
              </w:rPr>
              <w:t>£25,689</w:t>
            </w:r>
            <w:r>
              <w:rPr>
                <w:rFonts w:ascii="Arial" w:hAnsi="Arial" w:cs="Arial"/>
                <w:sz w:val="20"/>
                <w:szCs w:val="20"/>
              </w:rPr>
              <w:t xml:space="preserve"> </w:t>
            </w:r>
            <w:r w:rsidRPr="00415DF6">
              <w:rPr>
                <w:rFonts w:ascii="Arial" w:hAnsi="Arial" w:cs="Arial"/>
                <w:sz w:val="20"/>
                <w:szCs w:val="20"/>
              </w:rPr>
              <w:t>-</w:t>
            </w:r>
            <w:r>
              <w:rPr>
                <w:rFonts w:ascii="Arial" w:hAnsi="Arial" w:cs="Arial"/>
                <w:sz w:val="20"/>
                <w:szCs w:val="20"/>
              </w:rPr>
              <w:t xml:space="preserve"> </w:t>
            </w:r>
            <w:r w:rsidRPr="00415DF6">
              <w:rPr>
                <w:rFonts w:ascii="Arial" w:hAnsi="Arial" w:cs="Arial"/>
                <w:sz w:val="20"/>
                <w:szCs w:val="20"/>
              </w:rPr>
              <w:t>£43,662</w:t>
            </w:r>
          </w:p>
        </w:tc>
      </w:tr>
      <w:tr w:rsidR="00517B03" w:rsidRPr="00415DF6" w14:paraId="53D2BFFF" w14:textId="77777777" w:rsidTr="00FE6CB9">
        <w:trPr>
          <w:trHeight w:val="315"/>
        </w:trPr>
        <w:tc>
          <w:tcPr>
            <w:tcW w:w="6086" w:type="dxa"/>
            <w:tcBorders>
              <w:top w:val="single" w:sz="4" w:space="0" w:color="auto"/>
              <w:left w:val="single" w:sz="4" w:space="0" w:color="auto"/>
              <w:bottom w:val="single" w:sz="4" w:space="0" w:color="auto"/>
              <w:right w:val="single" w:sz="4" w:space="0" w:color="auto"/>
            </w:tcBorders>
            <w:noWrap/>
            <w:hideMark/>
          </w:tcPr>
          <w:p w14:paraId="0F37D3B9" w14:textId="77777777" w:rsidR="00517B03" w:rsidRPr="00415DF6" w:rsidRDefault="00517B03" w:rsidP="00517B03">
            <w:pPr>
              <w:rPr>
                <w:rFonts w:ascii="Arial" w:hAnsi="Arial" w:cs="Arial"/>
                <w:sz w:val="20"/>
                <w:szCs w:val="20"/>
              </w:rPr>
            </w:pPr>
            <w:r w:rsidRPr="00415DF6">
              <w:rPr>
                <w:rFonts w:ascii="Arial" w:hAnsi="Arial" w:cs="Arial"/>
                <w:sz w:val="20"/>
                <w:szCs w:val="20"/>
              </w:rPr>
              <w:t xml:space="preserve">42% higher rate tax </w:t>
            </w:r>
          </w:p>
        </w:tc>
        <w:tc>
          <w:tcPr>
            <w:tcW w:w="2031" w:type="dxa"/>
            <w:tcBorders>
              <w:top w:val="single" w:sz="4" w:space="0" w:color="auto"/>
              <w:left w:val="single" w:sz="4" w:space="0" w:color="auto"/>
              <w:bottom w:val="single" w:sz="4" w:space="0" w:color="auto"/>
              <w:right w:val="single" w:sz="4" w:space="0" w:color="auto"/>
            </w:tcBorders>
          </w:tcPr>
          <w:p w14:paraId="6BC22729" w14:textId="77777777" w:rsidR="00517B03" w:rsidRPr="00423AD9" w:rsidRDefault="00517B03" w:rsidP="00517B03">
            <w:pPr>
              <w:jc w:val="right"/>
              <w:rPr>
                <w:rFonts w:ascii="Arial" w:hAnsi="Arial" w:cs="Arial"/>
                <w:sz w:val="20"/>
                <w:szCs w:val="20"/>
              </w:rPr>
            </w:pPr>
            <w:r w:rsidRPr="00423AD9">
              <w:rPr>
                <w:rFonts w:ascii="Arial" w:hAnsi="Arial" w:cs="Arial"/>
                <w:sz w:val="20"/>
                <w:szCs w:val="20"/>
              </w:rPr>
              <w:t>£43,663</w:t>
            </w:r>
            <w:r>
              <w:rPr>
                <w:rFonts w:ascii="Arial" w:hAnsi="Arial" w:cs="Arial"/>
                <w:sz w:val="20"/>
                <w:szCs w:val="20"/>
              </w:rPr>
              <w:t xml:space="preserve"> </w:t>
            </w:r>
            <w:r w:rsidRPr="00423AD9">
              <w:rPr>
                <w:rFonts w:ascii="Arial" w:hAnsi="Arial" w:cs="Arial"/>
                <w:sz w:val="20"/>
                <w:szCs w:val="20"/>
              </w:rPr>
              <w:t>-</w:t>
            </w:r>
            <w:r>
              <w:rPr>
                <w:rFonts w:ascii="Arial" w:hAnsi="Arial" w:cs="Arial"/>
                <w:sz w:val="20"/>
                <w:szCs w:val="20"/>
              </w:rPr>
              <w:t xml:space="preserve"> </w:t>
            </w:r>
            <w:r w:rsidRPr="00423AD9">
              <w:rPr>
                <w:rFonts w:ascii="Arial" w:hAnsi="Arial" w:cs="Arial"/>
                <w:sz w:val="20"/>
                <w:szCs w:val="20"/>
              </w:rPr>
              <w:t>£75,000</w:t>
            </w:r>
          </w:p>
        </w:tc>
        <w:tc>
          <w:tcPr>
            <w:tcW w:w="2271" w:type="dxa"/>
            <w:tcBorders>
              <w:top w:val="single" w:sz="4" w:space="0" w:color="auto"/>
              <w:left w:val="single" w:sz="4" w:space="0" w:color="auto"/>
              <w:bottom w:val="single" w:sz="4" w:space="0" w:color="auto"/>
              <w:right w:val="single" w:sz="4" w:space="0" w:color="auto"/>
            </w:tcBorders>
            <w:hideMark/>
          </w:tcPr>
          <w:p w14:paraId="126550A0" w14:textId="77777777" w:rsidR="00517B03" w:rsidRPr="00415DF6" w:rsidRDefault="00517B03" w:rsidP="00517B03">
            <w:pPr>
              <w:jc w:val="right"/>
              <w:rPr>
                <w:rFonts w:ascii="Arial" w:hAnsi="Arial" w:cs="Arial"/>
                <w:sz w:val="20"/>
                <w:szCs w:val="20"/>
              </w:rPr>
            </w:pPr>
            <w:r w:rsidRPr="00415DF6">
              <w:rPr>
                <w:rFonts w:ascii="Arial" w:hAnsi="Arial" w:cs="Arial"/>
                <w:sz w:val="20"/>
                <w:szCs w:val="20"/>
              </w:rPr>
              <w:t>£43,663</w:t>
            </w:r>
            <w:r>
              <w:rPr>
                <w:rFonts w:ascii="Arial" w:hAnsi="Arial" w:cs="Arial"/>
                <w:sz w:val="20"/>
                <w:szCs w:val="20"/>
              </w:rPr>
              <w:t xml:space="preserve"> </w:t>
            </w:r>
            <w:r w:rsidRPr="00415DF6">
              <w:rPr>
                <w:rFonts w:ascii="Arial" w:hAnsi="Arial" w:cs="Arial"/>
                <w:sz w:val="20"/>
                <w:szCs w:val="20"/>
              </w:rPr>
              <w:t>-</w:t>
            </w:r>
            <w:r>
              <w:rPr>
                <w:rFonts w:ascii="Arial" w:hAnsi="Arial" w:cs="Arial"/>
                <w:sz w:val="20"/>
                <w:szCs w:val="20"/>
              </w:rPr>
              <w:t xml:space="preserve"> </w:t>
            </w:r>
            <w:r w:rsidRPr="00415DF6">
              <w:rPr>
                <w:rFonts w:ascii="Arial" w:hAnsi="Arial" w:cs="Arial"/>
                <w:sz w:val="20"/>
                <w:szCs w:val="20"/>
              </w:rPr>
              <w:t>£125,140</w:t>
            </w:r>
          </w:p>
        </w:tc>
      </w:tr>
      <w:tr w:rsidR="00517B03" w:rsidRPr="00415DF6" w14:paraId="1E04FB3C" w14:textId="77777777" w:rsidTr="00FE6CB9">
        <w:trPr>
          <w:trHeight w:val="315"/>
        </w:trPr>
        <w:tc>
          <w:tcPr>
            <w:tcW w:w="6086" w:type="dxa"/>
            <w:tcBorders>
              <w:top w:val="single" w:sz="4" w:space="0" w:color="auto"/>
              <w:left w:val="single" w:sz="4" w:space="0" w:color="auto"/>
              <w:bottom w:val="single" w:sz="4" w:space="0" w:color="auto"/>
              <w:right w:val="single" w:sz="4" w:space="0" w:color="auto"/>
            </w:tcBorders>
            <w:noWrap/>
          </w:tcPr>
          <w:p w14:paraId="571C8A7A" w14:textId="77777777" w:rsidR="00517B03" w:rsidRPr="00415DF6" w:rsidRDefault="00517B03" w:rsidP="00517B03">
            <w:pPr>
              <w:rPr>
                <w:rFonts w:ascii="Arial" w:hAnsi="Arial" w:cs="Arial"/>
                <w:sz w:val="20"/>
                <w:szCs w:val="20"/>
              </w:rPr>
            </w:pPr>
            <w:r>
              <w:rPr>
                <w:rFonts w:ascii="Arial" w:hAnsi="Arial" w:cs="Arial"/>
                <w:sz w:val="20"/>
                <w:szCs w:val="20"/>
              </w:rPr>
              <w:t>45% advanced rate</w:t>
            </w:r>
          </w:p>
        </w:tc>
        <w:tc>
          <w:tcPr>
            <w:tcW w:w="2031" w:type="dxa"/>
            <w:tcBorders>
              <w:top w:val="single" w:sz="4" w:space="0" w:color="auto"/>
              <w:left w:val="single" w:sz="4" w:space="0" w:color="auto"/>
              <w:bottom w:val="single" w:sz="4" w:space="0" w:color="auto"/>
              <w:right w:val="single" w:sz="4" w:space="0" w:color="auto"/>
            </w:tcBorders>
          </w:tcPr>
          <w:p w14:paraId="7CF95949" w14:textId="77777777" w:rsidR="00517B03" w:rsidRPr="00423AD9" w:rsidRDefault="00517B03" w:rsidP="00517B03">
            <w:pPr>
              <w:jc w:val="right"/>
              <w:rPr>
                <w:rFonts w:ascii="Arial" w:hAnsi="Arial" w:cs="Arial"/>
                <w:sz w:val="20"/>
                <w:szCs w:val="20"/>
              </w:rPr>
            </w:pPr>
            <w:r w:rsidRPr="00423AD9">
              <w:rPr>
                <w:rFonts w:ascii="Arial" w:hAnsi="Arial" w:cs="Arial"/>
                <w:sz w:val="20"/>
                <w:szCs w:val="20"/>
              </w:rPr>
              <w:t>£75,001</w:t>
            </w:r>
            <w:r>
              <w:rPr>
                <w:rFonts w:ascii="Arial" w:hAnsi="Arial" w:cs="Arial"/>
                <w:sz w:val="20"/>
                <w:szCs w:val="20"/>
              </w:rPr>
              <w:t xml:space="preserve"> </w:t>
            </w:r>
            <w:r w:rsidRPr="00423AD9">
              <w:rPr>
                <w:rFonts w:ascii="Arial" w:hAnsi="Arial" w:cs="Arial"/>
                <w:sz w:val="20"/>
                <w:szCs w:val="20"/>
              </w:rPr>
              <w:t>- £125,140</w:t>
            </w:r>
          </w:p>
        </w:tc>
        <w:tc>
          <w:tcPr>
            <w:tcW w:w="2271" w:type="dxa"/>
            <w:tcBorders>
              <w:top w:val="single" w:sz="4" w:space="0" w:color="auto"/>
              <w:left w:val="single" w:sz="4" w:space="0" w:color="auto"/>
              <w:bottom w:val="single" w:sz="4" w:space="0" w:color="auto"/>
              <w:right w:val="single" w:sz="4" w:space="0" w:color="auto"/>
            </w:tcBorders>
          </w:tcPr>
          <w:p w14:paraId="04E3461A" w14:textId="77777777" w:rsidR="00517B03" w:rsidRPr="00415DF6" w:rsidRDefault="00517B03" w:rsidP="00517B03">
            <w:pPr>
              <w:jc w:val="center"/>
              <w:rPr>
                <w:rFonts w:ascii="Arial" w:hAnsi="Arial" w:cs="Arial"/>
                <w:sz w:val="20"/>
                <w:szCs w:val="20"/>
              </w:rPr>
            </w:pPr>
            <w:r>
              <w:rPr>
                <w:rFonts w:ascii="Arial" w:hAnsi="Arial" w:cs="Arial"/>
                <w:sz w:val="20"/>
                <w:szCs w:val="20"/>
              </w:rPr>
              <w:t>n/a</w:t>
            </w:r>
          </w:p>
        </w:tc>
      </w:tr>
      <w:tr w:rsidR="00517B03" w:rsidRPr="00415DF6" w14:paraId="11B4ABCF" w14:textId="77777777" w:rsidTr="00FE6CB9">
        <w:trPr>
          <w:trHeight w:val="315"/>
        </w:trPr>
        <w:tc>
          <w:tcPr>
            <w:tcW w:w="6086" w:type="dxa"/>
            <w:tcBorders>
              <w:top w:val="single" w:sz="4" w:space="0" w:color="auto"/>
              <w:left w:val="single" w:sz="4" w:space="0" w:color="auto"/>
              <w:bottom w:val="single" w:sz="4" w:space="0" w:color="auto"/>
              <w:right w:val="single" w:sz="4" w:space="0" w:color="auto"/>
            </w:tcBorders>
            <w:noWrap/>
          </w:tcPr>
          <w:p w14:paraId="4026F195" w14:textId="77777777" w:rsidR="00517B03" w:rsidRPr="00415DF6" w:rsidRDefault="00517B03" w:rsidP="00517B03">
            <w:pPr>
              <w:rPr>
                <w:rFonts w:ascii="Arial" w:hAnsi="Arial" w:cs="Arial"/>
                <w:sz w:val="20"/>
                <w:szCs w:val="20"/>
              </w:rPr>
            </w:pPr>
            <w:r w:rsidRPr="00415DF6">
              <w:rPr>
                <w:rFonts w:ascii="Arial" w:hAnsi="Arial" w:cs="Arial"/>
                <w:sz w:val="20"/>
                <w:szCs w:val="20"/>
              </w:rPr>
              <w:t>4</w:t>
            </w:r>
            <w:r>
              <w:rPr>
                <w:rFonts w:ascii="Arial" w:hAnsi="Arial" w:cs="Arial"/>
                <w:sz w:val="20"/>
                <w:szCs w:val="20"/>
              </w:rPr>
              <w:t>8</w:t>
            </w:r>
            <w:r w:rsidRPr="00415DF6">
              <w:rPr>
                <w:rFonts w:ascii="Arial" w:hAnsi="Arial" w:cs="Arial"/>
                <w:sz w:val="20"/>
                <w:szCs w:val="20"/>
              </w:rPr>
              <w:t>% top rate (4</w:t>
            </w:r>
            <w:r>
              <w:rPr>
                <w:rFonts w:ascii="Arial" w:hAnsi="Arial" w:cs="Arial"/>
                <w:sz w:val="20"/>
                <w:szCs w:val="20"/>
              </w:rPr>
              <w:t>7</w:t>
            </w:r>
            <w:r w:rsidRPr="00415DF6">
              <w:rPr>
                <w:rFonts w:ascii="Arial" w:hAnsi="Arial" w:cs="Arial"/>
                <w:sz w:val="20"/>
                <w:szCs w:val="20"/>
              </w:rPr>
              <w:t>% for 202</w:t>
            </w:r>
            <w:r>
              <w:rPr>
                <w:rFonts w:ascii="Arial" w:hAnsi="Arial" w:cs="Arial"/>
                <w:sz w:val="20"/>
                <w:szCs w:val="20"/>
              </w:rPr>
              <w:t>3-24</w:t>
            </w:r>
            <w:r w:rsidRPr="00415DF6">
              <w:rPr>
                <w:rFonts w:ascii="Arial" w:hAnsi="Arial" w:cs="Arial"/>
                <w:sz w:val="20"/>
                <w:szCs w:val="20"/>
              </w:rPr>
              <w:t>)</w:t>
            </w:r>
          </w:p>
        </w:tc>
        <w:tc>
          <w:tcPr>
            <w:tcW w:w="2031" w:type="dxa"/>
            <w:tcBorders>
              <w:top w:val="single" w:sz="4" w:space="0" w:color="auto"/>
              <w:left w:val="single" w:sz="4" w:space="0" w:color="auto"/>
              <w:bottom w:val="single" w:sz="4" w:space="0" w:color="auto"/>
              <w:right w:val="single" w:sz="4" w:space="0" w:color="auto"/>
            </w:tcBorders>
          </w:tcPr>
          <w:p w14:paraId="310EB13A" w14:textId="77777777" w:rsidR="00517B03" w:rsidRPr="00423AD9" w:rsidRDefault="00517B03" w:rsidP="00517B03">
            <w:pPr>
              <w:jc w:val="right"/>
              <w:rPr>
                <w:rFonts w:ascii="Arial" w:hAnsi="Arial" w:cs="Arial"/>
                <w:sz w:val="20"/>
                <w:szCs w:val="20"/>
              </w:rPr>
            </w:pPr>
            <w:r w:rsidRPr="00423AD9">
              <w:rPr>
                <w:rFonts w:ascii="Arial" w:hAnsi="Arial" w:cs="Arial"/>
                <w:sz w:val="20"/>
                <w:szCs w:val="20"/>
              </w:rPr>
              <w:t>Above £125,140</w:t>
            </w:r>
          </w:p>
        </w:tc>
        <w:tc>
          <w:tcPr>
            <w:tcW w:w="2271" w:type="dxa"/>
            <w:tcBorders>
              <w:top w:val="single" w:sz="4" w:space="0" w:color="auto"/>
              <w:left w:val="single" w:sz="4" w:space="0" w:color="auto"/>
              <w:bottom w:val="single" w:sz="4" w:space="0" w:color="auto"/>
              <w:right w:val="single" w:sz="4" w:space="0" w:color="auto"/>
            </w:tcBorders>
          </w:tcPr>
          <w:p w14:paraId="1BB1DE95" w14:textId="77777777" w:rsidR="00517B03" w:rsidRPr="00415DF6" w:rsidRDefault="00517B03" w:rsidP="00517B03">
            <w:pPr>
              <w:jc w:val="right"/>
              <w:rPr>
                <w:rFonts w:ascii="Arial" w:hAnsi="Arial" w:cs="Arial"/>
                <w:sz w:val="20"/>
                <w:szCs w:val="20"/>
              </w:rPr>
            </w:pPr>
            <w:r w:rsidRPr="00415DF6">
              <w:rPr>
                <w:rFonts w:ascii="Arial" w:hAnsi="Arial" w:cs="Arial"/>
                <w:sz w:val="20"/>
                <w:szCs w:val="20"/>
              </w:rPr>
              <w:t>Above £125,140</w:t>
            </w:r>
          </w:p>
        </w:tc>
      </w:tr>
    </w:tbl>
    <w:p w14:paraId="025D4CFB" w14:textId="77777777" w:rsidR="000D68A9" w:rsidRDefault="000D68A9" w:rsidP="0065704D">
      <w:pPr>
        <w:rPr>
          <w:rFonts w:ascii="Arial" w:hAnsi="Arial" w:cs="Arial"/>
          <w:b/>
          <w:bCs/>
          <w:sz w:val="28"/>
          <w:szCs w:val="28"/>
        </w:rPr>
      </w:pPr>
    </w:p>
    <w:tbl>
      <w:tblPr>
        <w:tblW w:w="10388" w:type="dxa"/>
        <w:tblLayout w:type="fixed"/>
        <w:tblLook w:val="04A0" w:firstRow="1" w:lastRow="0" w:firstColumn="1" w:lastColumn="0" w:noHBand="0" w:noVBand="1"/>
      </w:tblPr>
      <w:tblGrid>
        <w:gridCol w:w="6526"/>
        <w:gridCol w:w="2113"/>
        <w:gridCol w:w="1749"/>
      </w:tblGrid>
      <w:tr w:rsidR="002406B0" w:rsidRPr="003E275B" w14:paraId="0697C05B"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shd w:val="clear" w:color="auto" w:fill="4273AF" w:themeFill="accent1" w:themeFillShade="E6"/>
            <w:noWrap/>
            <w:hideMark/>
          </w:tcPr>
          <w:p w14:paraId="0BD30BFC" w14:textId="77777777" w:rsidR="002406B0" w:rsidRPr="00EF34F1" w:rsidRDefault="002406B0" w:rsidP="00423AD9">
            <w:pPr>
              <w:rPr>
                <w:rFonts w:ascii="Arial" w:hAnsi="Arial" w:cs="Arial"/>
                <w:b/>
                <w:bCs/>
                <w:sz w:val="20"/>
                <w:szCs w:val="20"/>
              </w:rPr>
            </w:pPr>
            <w:r w:rsidRPr="00EF34F1">
              <w:rPr>
                <w:rFonts w:ascii="Arial" w:hAnsi="Arial" w:cs="Arial"/>
                <w:b/>
                <w:bCs/>
                <w:sz w:val="20"/>
                <w:szCs w:val="20"/>
              </w:rPr>
              <w:t>National insurance</w:t>
            </w:r>
          </w:p>
        </w:tc>
        <w:tc>
          <w:tcPr>
            <w:tcW w:w="2113" w:type="dxa"/>
            <w:tcBorders>
              <w:top w:val="single" w:sz="4" w:space="0" w:color="auto"/>
              <w:left w:val="single" w:sz="4" w:space="0" w:color="auto"/>
              <w:bottom w:val="single" w:sz="4" w:space="0" w:color="auto"/>
              <w:right w:val="single" w:sz="4" w:space="0" w:color="auto"/>
            </w:tcBorders>
            <w:shd w:val="clear" w:color="auto" w:fill="4273AF" w:themeFill="accent1" w:themeFillShade="E6"/>
            <w:noWrap/>
            <w:hideMark/>
          </w:tcPr>
          <w:p w14:paraId="3A7F7580" w14:textId="77777777" w:rsidR="002406B0" w:rsidRPr="000A285A" w:rsidRDefault="002406B0" w:rsidP="00423AD9">
            <w:pPr>
              <w:jc w:val="right"/>
              <w:rPr>
                <w:rFonts w:ascii="Arial" w:hAnsi="Arial" w:cs="Arial"/>
                <w:b/>
                <w:bCs/>
                <w:sz w:val="20"/>
                <w:szCs w:val="20"/>
              </w:rPr>
            </w:pPr>
            <w:r w:rsidRPr="008E7FF6">
              <w:rPr>
                <w:rFonts w:ascii="Arial" w:hAnsi="Arial" w:cs="Arial"/>
                <w:b/>
                <w:bCs/>
              </w:rPr>
              <w:t>2024/25</w:t>
            </w:r>
          </w:p>
        </w:tc>
        <w:tc>
          <w:tcPr>
            <w:tcW w:w="1749" w:type="dxa"/>
            <w:tcBorders>
              <w:top w:val="single" w:sz="4" w:space="0" w:color="auto"/>
              <w:left w:val="single" w:sz="4" w:space="0" w:color="auto"/>
              <w:bottom w:val="single" w:sz="4" w:space="0" w:color="auto"/>
              <w:right w:val="single" w:sz="4" w:space="0" w:color="auto"/>
            </w:tcBorders>
            <w:shd w:val="clear" w:color="auto" w:fill="4273AF" w:themeFill="accent1" w:themeFillShade="E6"/>
            <w:noWrap/>
            <w:hideMark/>
          </w:tcPr>
          <w:p w14:paraId="46CB76C2" w14:textId="77777777" w:rsidR="002406B0" w:rsidRPr="003E275B" w:rsidRDefault="002406B0" w:rsidP="00423AD9">
            <w:pPr>
              <w:jc w:val="right"/>
              <w:rPr>
                <w:rFonts w:ascii="Arial" w:hAnsi="Arial" w:cs="Arial"/>
                <w:b/>
                <w:bCs/>
                <w:sz w:val="20"/>
                <w:szCs w:val="20"/>
              </w:rPr>
            </w:pPr>
            <w:r w:rsidRPr="000A285A">
              <w:rPr>
                <w:rFonts w:ascii="Arial" w:hAnsi="Arial" w:cs="Arial"/>
                <w:b/>
                <w:bCs/>
              </w:rPr>
              <w:t>2023/24</w:t>
            </w:r>
          </w:p>
        </w:tc>
      </w:tr>
      <w:tr w:rsidR="002406B0" w:rsidRPr="003E275B" w14:paraId="2DB72DC0"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06BB084D" w14:textId="77777777" w:rsidR="002406B0" w:rsidRPr="00C770C2" w:rsidRDefault="002406B0" w:rsidP="00423AD9">
            <w:pPr>
              <w:rPr>
                <w:rFonts w:ascii="Arial" w:hAnsi="Arial" w:cs="Arial"/>
                <w:sz w:val="20"/>
                <w:szCs w:val="20"/>
              </w:rPr>
            </w:pPr>
            <w:r w:rsidRPr="00D11401">
              <w:rPr>
                <w:rFonts w:ascii="Arial" w:eastAsia="Calibri" w:hAnsi="Arial" w:cs="Arial"/>
                <w:sz w:val="20"/>
                <w:szCs w:val="20"/>
              </w:rPr>
              <w:t>Lower earnings limit, primary class 1 (per week</w:t>
            </w:r>
            <w:r w:rsidRPr="00594357">
              <w:rPr>
                <w:rFonts w:ascii="Arial" w:eastAsia="Calibri" w:hAnsi="Arial" w:cs="Arial"/>
                <w:sz w:val="20"/>
                <w:szCs w:val="20"/>
              </w:rPr>
              <w:t>)</w:t>
            </w:r>
          </w:p>
        </w:tc>
        <w:tc>
          <w:tcPr>
            <w:tcW w:w="2113" w:type="dxa"/>
            <w:tcBorders>
              <w:top w:val="single" w:sz="4" w:space="0" w:color="auto"/>
              <w:left w:val="single" w:sz="4" w:space="0" w:color="auto"/>
              <w:bottom w:val="single" w:sz="4" w:space="0" w:color="auto"/>
              <w:right w:val="single" w:sz="4" w:space="0" w:color="auto"/>
            </w:tcBorders>
            <w:noWrap/>
            <w:hideMark/>
          </w:tcPr>
          <w:p w14:paraId="503A3003" w14:textId="77777777" w:rsidR="002406B0" w:rsidRPr="00423AD9" w:rsidRDefault="002406B0" w:rsidP="00423AD9">
            <w:pPr>
              <w:jc w:val="right"/>
              <w:rPr>
                <w:rFonts w:ascii="Arial" w:hAnsi="Arial" w:cs="Arial"/>
                <w:sz w:val="20"/>
                <w:szCs w:val="20"/>
              </w:rPr>
            </w:pPr>
            <w:r w:rsidRPr="00423AD9">
              <w:rPr>
                <w:rFonts w:ascii="Arial" w:eastAsia="Calibri" w:hAnsi="Arial" w:cs="Arial"/>
                <w:sz w:val="20"/>
                <w:szCs w:val="20"/>
              </w:rPr>
              <w:t>£123</w:t>
            </w:r>
          </w:p>
        </w:tc>
        <w:tc>
          <w:tcPr>
            <w:tcW w:w="1749" w:type="dxa"/>
            <w:tcBorders>
              <w:top w:val="single" w:sz="4" w:space="0" w:color="auto"/>
              <w:left w:val="single" w:sz="4" w:space="0" w:color="auto"/>
              <w:bottom w:val="single" w:sz="4" w:space="0" w:color="auto"/>
              <w:right w:val="single" w:sz="4" w:space="0" w:color="auto"/>
            </w:tcBorders>
            <w:noWrap/>
            <w:hideMark/>
          </w:tcPr>
          <w:p w14:paraId="6350CC36" w14:textId="77777777" w:rsidR="002406B0" w:rsidRPr="003E275B" w:rsidRDefault="002406B0" w:rsidP="00423AD9">
            <w:pPr>
              <w:jc w:val="right"/>
              <w:rPr>
                <w:rFonts w:ascii="Arial" w:hAnsi="Arial" w:cs="Arial"/>
                <w:sz w:val="20"/>
                <w:szCs w:val="20"/>
              </w:rPr>
            </w:pPr>
            <w:r w:rsidRPr="000A285A">
              <w:rPr>
                <w:rFonts w:ascii="Arial" w:eastAsia="Calibri" w:hAnsi="Arial" w:cs="Arial"/>
                <w:sz w:val="20"/>
                <w:szCs w:val="20"/>
              </w:rPr>
              <w:t>£123</w:t>
            </w:r>
          </w:p>
        </w:tc>
      </w:tr>
      <w:tr w:rsidR="002406B0" w:rsidRPr="003E275B" w14:paraId="231AF642"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6762FB6F" w14:textId="7B01E094" w:rsidR="002406B0" w:rsidRPr="00C770C2" w:rsidRDefault="002406B0" w:rsidP="00423AD9">
            <w:pPr>
              <w:rPr>
                <w:rFonts w:ascii="Arial" w:hAnsi="Arial" w:cs="Arial"/>
                <w:sz w:val="20"/>
                <w:szCs w:val="20"/>
              </w:rPr>
            </w:pPr>
            <w:r w:rsidRPr="00D11401">
              <w:rPr>
                <w:rFonts w:ascii="Arial" w:eastAsia="Calibri" w:hAnsi="Arial" w:cs="Arial"/>
                <w:sz w:val="20"/>
                <w:szCs w:val="20"/>
              </w:rPr>
              <w:t>Upper earnings limit</w:t>
            </w:r>
            <w:r w:rsidR="00CF01B7">
              <w:rPr>
                <w:rFonts w:ascii="Arial" w:eastAsia="Calibri" w:hAnsi="Arial" w:cs="Arial"/>
                <w:sz w:val="20"/>
                <w:szCs w:val="20"/>
              </w:rPr>
              <w:t xml:space="preserve"> (UEL)</w:t>
            </w:r>
            <w:r w:rsidRPr="00D11401">
              <w:rPr>
                <w:rFonts w:ascii="Arial" w:eastAsia="Calibri" w:hAnsi="Arial" w:cs="Arial"/>
                <w:sz w:val="20"/>
                <w:szCs w:val="20"/>
              </w:rPr>
              <w:t>, primary class 1 (per week)</w:t>
            </w:r>
          </w:p>
        </w:tc>
        <w:tc>
          <w:tcPr>
            <w:tcW w:w="2113" w:type="dxa"/>
            <w:tcBorders>
              <w:top w:val="single" w:sz="4" w:space="0" w:color="auto"/>
              <w:left w:val="single" w:sz="4" w:space="0" w:color="auto"/>
              <w:bottom w:val="single" w:sz="4" w:space="0" w:color="auto"/>
              <w:right w:val="single" w:sz="4" w:space="0" w:color="auto"/>
            </w:tcBorders>
            <w:noWrap/>
            <w:hideMark/>
          </w:tcPr>
          <w:p w14:paraId="5B54C59D" w14:textId="77777777" w:rsidR="002406B0" w:rsidRPr="00423AD9" w:rsidRDefault="002406B0" w:rsidP="00423AD9">
            <w:pPr>
              <w:jc w:val="right"/>
              <w:rPr>
                <w:rFonts w:ascii="Arial" w:hAnsi="Arial" w:cs="Arial"/>
                <w:sz w:val="20"/>
                <w:szCs w:val="20"/>
              </w:rPr>
            </w:pPr>
            <w:r w:rsidRPr="00423AD9">
              <w:rPr>
                <w:rFonts w:ascii="Arial" w:eastAsia="Calibri" w:hAnsi="Arial" w:cs="Arial"/>
                <w:sz w:val="20"/>
                <w:szCs w:val="20"/>
              </w:rPr>
              <w:t>£967</w:t>
            </w:r>
          </w:p>
        </w:tc>
        <w:tc>
          <w:tcPr>
            <w:tcW w:w="1749" w:type="dxa"/>
            <w:tcBorders>
              <w:top w:val="single" w:sz="4" w:space="0" w:color="auto"/>
              <w:left w:val="single" w:sz="4" w:space="0" w:color="auto"/>
              <w:bottom w:val="single" w:sz="4" w:space="0" w:color="auto"/>
              <w:right w:val="single" w:sz="4" w:space="0" w:color="auto"/>
            </w:tcBorders>
            <w:noWrap/>
            <w:hideMark/>
          </w:tcPr>
          <w:p w14:paraId="5E2DEE47" w14:textId="77777777" w:rsidR="002406B0" w:rsidRPr="003E275B" w:rsidRDefault="002406B0" w:rsidP="00423AD9">
            <w:pPr>
              <w:jc w:val="right"/>
              <w:rPr>
                <w:rFonts w:ascii="Arial" w:hAnsi="Arial" w:cs="Arial"/>
                <w:sz w:val="20"/>
                <w:szCs w:val="20"/>
              </w:rPr>
            </w:pPr>
            <w:r w:rsidRPr="000A285A">
              <w:rPr>
                <w:rFonts w:ascii="Arial" w:eastAsia="Calibri" w:hAnsi="Arial" w:cs="Arial"/>
                <w:sz w:val="20"/>
                <w:szCs w:val="20"/>
              </w:rPr>
              <w:t>£967</w:t>
            </w:r>
          </w:p>
        </w:tc>
      </w:tr>
      <w:tr w:rsidR="002406B0" w:rsidRPr="003E275B" w14:paraId="21933CCF"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48519FDB" w14:textId="661E682A" w:rsidR="002406B0" w:rsidRPr="00D11401" w:rsidRDefault="002406B0" w:rsidP="00423AD9">
            <w:pPr>
              <w:pStyle w:val="NoSpacing"/>
              <w:rPr>
                <w:rFonts w:ascii="Arial" w:hAnsi="Arial" w:cs="Arial"/>
                <w:sz w:val="20"/>
                <w:szCs w:val="20"/>
              </w:rPr>
            </w:pPr>
            <w:r w:rsidRPr="00D11401">
              <w:rPr>
                <w:rFonts w:ascii="Arial" w:hAnsi="Arial" w:cs="Arial"/>
                <w:sz w:val="20"/>
                <w:szCs w:val="20"/>
              </w:rPr>
              <w:t xml:space="preserve">Primary threshold </w:t>
            </w:r>
            <w:r w:rsidR="00CF01B7">
              <w:rPr>
                <w:rFonts w:ascii="Arial" w:hAnsi="Arial" w:cs="Arial"/>
                <w:sz w:val="20"/>
                <w:szCs w:val="20"/>
              </w:rPr>
              <w:t xml:space="preserve">(PT) </w:t>
            </w:r>
            <w:r w:rsidRPr="00D11401">
              <w:rPr>
                <w:rFonts w:ascii="Arial" w:hAnsi="Arial" w:cs="Arial"/>
                <w:sz w:val="20"/>
                <w:szCs w:val="20"/>
              </w:rPr>
              <w:t>(per week)</w:t>
            </w:r>
          </w:p>
          <w:p w14:paraId="7E6E7849" w14:textId="77777777" w:rsidR="002406B0" w:rsidRPr="00C770C2" w:rsidRDefault="002406B0" w:rsidP="00423AD9">
            <w:pPr>
              <w:pStyle w:val="NoSpacing"/>
              <w:rPr>
                <w:rFonts w:ascii="Arial" w:hAnsi="Arial" w:cs="Arial"/>
                <w:sz w:val="20"/>
                <w:szCs w:val="20"/>
              </w:rPr>
            </w:pPr>
          </w:p>
        </w:tc>
        <w:tc>
          <w:tcPr>
            <w:tcW w:w="2113" w:type="dxa"/>
            <w:tcBorders>
              <w:top w:val="single" w:sz="4" w:space="0" w:color="auto"/>
              <w:left w:val="single" w:sz="4" w:space="0" w:color="auto"/>
              <w:bottom w:val="single" w:sz="4" w:space="0" w:color="auto"/>
              <w:right w:val="single" w:sz="4" w:space="0" w:color="auto"/>
            </w:tcBorders>
            <w:noWrap/>
            <w:hideMark/>
          </w:tcPr>
          <w:p w14:paraId="6F097FA7" w14:textId="77777777" w:rsidR="002406B0" w:rsidRPr="00423AD9" w:rsidRDefault="002406B0" w:rsidP="00423AD9">
            <w:pPr>
              <w:pStyle w:val="NoSpacing"/>
              <w:jc w:val="right"/>
              <w:rPr>
                <w:rFonts w:ascii="Arial" w:hAnsi="Arial" w:cs="Arial"/>
                <w:sz w:val="20"/>
                <w:szCs w:val="20"/>
              </w:rPr>
            </w:pPr>
            <w:r w:rsidRPr="00423AD9">
              <w:rPr>
                <w:rFonts w:ascii="Arial" w:hAnsi="Arial" w:cs="Arial"/>
                <w:sz w:val="20"/>
                <w:szCs w:val="20"/>
              </w:rPr>
              <w:t>£242</w:t>
            </w:r>
          </w:p>
          <w:p w14:paraId="5A7322AD" w14:textId="77777777" w:rsidR="002406B0" w:rsidRPr="00423AD9" w:rsidRDefault="002406B0" w:rsidP="00423AD9">
            <w:pPr>
              <w:pStyle w:val="NoSpacing"/>
              <w:jc w:val="right"/>
              <w:rPr>
                <w:rFonts w:ascii="Arial" w:hAnsi="Arial" w:cs="Arial"/>
                <w:sz w:val="20"/>
                <w:szCs w:val="20"/>
              </w:rPr>
            </w:pPr>
          </w:p>
          <w:p w14:paraId="0E062E2D" w14:textId="77777777" w:rsidR="002406B0" w:rsidRPr="00423AD9" w:rsidRDefault="002406B0" w:rsidP="00423AD9">
            <w:pPr>
              <w:jc w:val="right"/>
              <w:rPr>
                <w:rFonts w:ascii="Arial" w:hAnsi="Arial" w:cs="Arial"/>
                <w:sz w:val="20"/>
                <w:szCs w:val="20"/>
              </w:rPr>
            </w:pPr>
          </w:p>
        </w:tc>
        <w:tc>
          <w:tcPr>
            <w:tcW w:w="1749" w:type="dxa"/>
            <w:tcBorders>
              <w:top w:val="single" w:sz="4" w:space="0" w:color="auto"/>
              <w:left w:val="single" w:sz="4" w:space="0" w:color="auto"/>
              <w:bottom w:val="single" w:sz="4" w:space="0" w:color="auto"/>
              <w:right w:val="single" w:sz="4" w:space="0" w:color="auto"/>
            </w:tcBorders>
            <w:noWrap/>
            <w:hideMark/>
          </w:tcPr>
          <w:p w14:paraId="1E263A55" w14:textId="77777777" w:rsidR="002406B0" w:rsidRPr="000A285A" w:rsidRDefault="002406B0" w:rsidP="00423AD9">
            <w:pPr>
              <w:pStyle w:val="NoSpacing"/>
              <w:jc w:val="right"/>
              <w:rPr>
                <w:rFonts w:ascii="Arial" w:hAnsi="Arial" w:cs="Arial"/>
                <w:sz w:val="20"/>
                <w:szCs w:val="20"/>
              </w:rPr>
            </w:pPr>
            <w:r w:rsidRPr="000A285A">
              <w:rPr>
                <w:rFonts w:ascii="Arial" w:hAnsi="Arial" w:cs="Arial"/>
                <w:sz w:val="20"/>
                <w:szCs w:val="20"/>
              </w:rPr>
              <w:t>£242</w:t>
            </w:r>
          </w:p>
          <w:p w14:paraId="3B989B62" w14:textId="77777777" w:rsidR="002406B0" w:rsidRPr="000A285A" w:rsidRDefault="002406B0" w:rsidP="00423AD9">
            <w:pPr>
              <w:pStyle w:val="NoSpacing"/>
              <w:jc w:val="right"/>
              <w:rPr>
                <w:rFonts w:ascii="Arial" w:hAnsi="Arial" w:cs="Arial"/>
                <w:sz w:val="20"/>
                <w:szCs w:val="20"/>
              </w:rPr>
            </w:pPr>
          </w:p>
          <w:p w14:paraId="688DC389" w14:textId="77777777" w:rsidR="002406B0" w:rsidRPr="003E275B" w:rsidRDefault="002406B0" w:rsidP="00423AD9">
            <w:pPr>
              <w:jc w:val="right"/>
              <w:rPr>
                <w:rFonts w:ascii="Arial" w:hAnsi="Arial" w:cs="Arial"/>
                <w:sz w:val="20"/>
                <w:szCs w:val="20"/>
              </w:rPr>
            </w:pPr>
          </w:p>
        </w:tc>
      </w:tr>
      <w:tr w:rsidR="002406B0" w:rsidRPr="003E275B" w14:paraId="39FB66B9"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2890831A" w14:textId="77777777" w:rsidR="002406B0" w:rsidRPr="00C770C2" w:rsidRDefault="002406B0" w:rsidP="00423AD9">
            <w:pPr>
              <w:rPr>
                <w:rFonts w:ascii="Arial" w:hAnsi="Arial" w:cs="Arial"/>
                <w:sz w:val="20"/>
                <w:szCs w:val="20"/>
              </w:rPr>
            </w:pPr>
            <w:r w:rsidRPr="00D11401">
              <w:rPr>
                <w:rFonts w:ascii="Arial" w:eastAsia="Calibri" w:hAnsi="Arial" w:cs="Arial"/>
                <w:sz w:val="20"/>
                <w:szCs w:val="20"/>
              </w:rPr>
              <w:t>Secondary threshold (per week)</w:t>
            </w:r>
          </w:p>
        </w:tc>
        <w:tc>
          <w:tcPr>
            <w:tcW w:w="2113" w:type="dxa"/>
            <w:tcBorders>
              <w:top w:val="single" w:sz="4" w:space="0" w:color="auto"/>
              <w:left w:val="single" w:sz="4" w:space="0" w:color="auto"/>
              <w:bottom w:val="single" w:sz="4" w:space="0" w:color="auto"/>
              <w:right w:val="single" w:sz="4" w:space="0" w:color="auto"/>
            </w:tcBorders>
            <w:noWrap/>
            <w:hideMark/>
          </w:tcPr>
          <w:p w14:paraId="4B02553C" w14:textId="77777777" w:rsidR="002406B0" w:rsidRPr="00423AD9" w:rsidRDefault="002406B0" w:rsidP="00423AD9">
            <w:pPr>
              <w:jc w:val="right"/>
              <w:rPr>
                <w:rFonts w:ascii="Arial" w:hAnsi="Arial" w:cs="Arial"/>
                <w:sz w:val="20"/>
                <w:szCs w:val="20"/>
              </w:rPr>
            </w:pPr>
            <w:r w:rsidRPr="00423AD9">
              <w:rPr>
                <w:rFonts w:ascii="Arial" w:eastAsia="Calibri" w:hAnsi="Arial" w:cs="Arial"/>
                <w:sz w:val="20"/>
                <w:szCs w:val="20"/>
              </w:rPr>
              <w:t>£175</w:t>
            </w:r>
          </w:p>
        </w:tc>
        <w:tc>
          <w:tcPr>
            <w:tcW w:w="1749" w:type="dxa"/>
            <w:tcBorders>
              <w:top w:val="single" w:sz="4" w:space="0" w:color="auto"/>
              <w:left w:val="single" w:sz="4" w:space="0" w:color="auto"/>
              <w:bottom w:val="single" w:sz="4" w:space="0" w:color="auto"/>
              <w:right w:val="single" w:sz="4" w:space="0" w:color="auto"/>
            </w:tcBorders>
            <w:noWrap/>
            <w:hideMark/>
          </w:tcPr>
          <w:p w14:paraId="338CC201" w14:textId="77777777" w:rsidR="002406B0" w:rsidRPr="003E275B" w:rsidRDefault="002406B0" w:rsidP="00423AD9">
            <w:pPr>
              <w:jc w:val="right"/>
              <w:rPr>
                <w:rFonts w:ascii="Arial" w:hAnsi="Arial" w:cs="Arial"/>
                <w:sz w:val="20"/>
                <w:szCs w:val="20"/>
              </w:rPr>
            </w:pPr>
            <w:r w:rsidRPr="000A285A">
              <w:rPr>
                <w:rFonts w:ascii="Arial" w:eastAsia="Calibri" w:hAnsi="Arial" w:cs="Arial"/>
                <w:sz w:val="20"/>
                <w:szCs w:val="20"/>
              </w:rPr>
              <w:t>£175</w:t>
            </w:r>
          </w:p>
        </w:tc>
      </w:tr>
      <w:tr w:rsidR="002406B0" w:rsidRPr="003E275B" w14:paraId="29F62316"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7CA0902F" w14:textId="77777777" w:rsidR="002406B0" w:rsidRPr="00C770C2" w:rsidRDefault="002406B0" w:rsidP="00423AD9">
            <w:pPr>
              <w:rPr>
                <w:rFonts w:ascii="Arial" w:hAnsi="Arial" w:cs="Arial"/>
                <w:sz w:val="20"/>
                <w:szCs w:val="20"/>
              </w:rPr>
            </w:pPr>
            <w:r w:rsidRPr="00D11401">
              <w:rPr>
                <w:rFonts w:ascii="Arial" w:eastAsia="Calibri" w:hAnsi="Arial" w:cs="Arial"/>
                <w:sz w:val="20"/>
                <w:szCs w:val="20"/>
              </w:rPr>
              <w:t>Employment allowance (per year/employer)</w:t>
            </w:r>
          </w:p>
        </w:tc>
        <w:tc>
          <w:tcPr>
            <w:tcW w:w="2113" w:type="dxa"/>
            <w:tcBorders>
              <w:top w:val="single" w:sz="4" w:space="0" w:color="auto"/>
              <w:left w:val="single" w:sz="4" w:space="0" w:color="auto"/>
              <w:bottom w:val="single" w:sz="4" w:space="0" w:color="auto"/>
              <w:right w:val="single" w:sz="4" w:space="0" w:color="auto"/>
            </w:tcBorders>
            <w:noWrap/>
            <w:hideMark/>
          </w:tcPr>
          <w:p w14:paraId="36C85821" w14:textId="77777777" w:rsidR="002406B0" w:rsidRPr="00423AD9" w:rsidRDefault="002406B0" w:rsidP="00423AD9">
            <w:pPr>
              <w:jc w:val="right"/>
              <w:rPr>
                <w:rFonts w:ascii="Arial" w:hAnsi="Arial" w:cs="Arial"/>
                <w:sz w:val="20"/>
                <w:szCs w:val="20"/>
              </w:rPr>
            </w:pPr>
            <w:r w:rsidRPr="00423AD9">
              <w:rPr>
                <w:rFonts w:ascii="Arial" w:eastAsia="Calibri" w:hAnsi="Arial" w:cs="Arial"/>
                <w:sz w:val="20"/>
                <w:szCs w:val="20"/>
              </w:rPr>
              <w:t>£5,000</w:t>
            </w:r>
          </w:p>
        </w:tc>
        <w:tc>
          <w:tcPr>
            <w:tcW w:w="1749" w:type="dxa"/>
            <w:tcBorders>
              <w:top w:val="single" w:sz="4" w:space="0" w:color="auto"/>
              <w:left w:val="single" w:sz="4" w:space="0" w:color="auto"/>
              <w:bottom w:val="single" w:sz="4" w:space="0" w:color="auto"/>
              <w:right w:val="single" w:sz="4" w:space="0" w:color="auto"/>
            </w:tcBorders>
            <w:noWrap/>
            <w:hideMark/>
          </w:tcPr>
          <w:p w14:paraId="3EE9C9F9" w14:textId="77777777" w:rsidR="002406B0" w:rsidRPr="003E275B" w:rsidRDefault="002406B0" w:rsidP="00423AD9">
            <w:pPr>
              <w:jc w:val="right"/>
              <w:rPr>
                <w:rFonts w:ascii="Arial" w:hAnsi="Arial" w:cs="Arial"/>
                <w:sz w:val="20"/>
                <w:szCs w:val="20"/>
              </w:rPr>
            </w:pPr>
            <w:r w:rsidRPr="000A285A">
              <w:rPr>
                <w:rFonts w:ascii="Arial" w:eastAsia="Calibri" w:hAnsi="Arial" w:cs="Arial"/>
                <w:sz w:val="20"/>
                <w:szCs w:val="20"/>
              </w:rPr>
              <w:t>£5,000</w:t>
            </w:r>
          </w:p>
        </w:tc>
      </w:tr>
      <w:tr w:rsidR="002406B0" w:rsidRPr="003E275B" w14:paraId="57AA93A0"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62ACBD5C" w14:textId="51BCE3A2" w:rsidR="002406B0" w:rsidRPr="00D11401" w:rsidRDefault="002406B0" w:rsidP="00423AD9">
            <w:pPr>
              <w:pStyle w:val="NoSpacing"/>
              <w:jc w:val="both"/>
              <w:rPr>
                <w:rFonts w:ascii="Arial" w:hAnsi="Arial" w:cs="Arial"/>
                <w:sz w:val="20"/>
                <w:szCs w:val="20"/>
              </w:rPr>
            </w:pPr>
            <w:r w:rsidRPr="00D11401">
              <w:rPr>
                <w:rFonts w:ascii="Arial" w:hAnsi="Arial" w:cs="Arial"/>
                <w:sz w:val="20"/>
                <w:szCs w:val="20"/>
              </w:rPr>
              <w:t>Employee’s primary class 1 rate between</w:t>
            </w:r>
            <w:r w:rsidR="00CF01B7">
              <w:rPr>
                <w:rFonts w:ascii="Arial" w:hAnsi="Arial" w:cs="Arial"/>
                <w:sz w:val="20"/>
                <w:szCs w:val="20"/>
              </w:rPr>
              <w:t xml:space="preserve"> PT and UEL</w:t>
            </w:r>
          </w:p>
          <w:p w14:paraId="17E95F5F" w14:textId="77777777" w:rsidR="002406B0" w:rsidRPr="00D11401" w:rsidRDefault="002406B0" w:rsidP="00423AD9">
            <w:pPr>
              <w:pStyle w:val="NoSpacing"/>
              <w:jc w:val="both"/>
              <w:rPr>
                <w:rFonts w:ascii="Arial" w:hAnsi="Arial" w:cs="Arial"/>
                <w:sz w:val="20"/>
                <w:szCs w:val="20"/>
              </w:rPr>
            </w:pPr>
            <w:r w:rsidRPr="00D11401">
              <w:rPr>
                <w:rFonts w:ascii="Arial" w:hAnsi="Arial" w:cs="Arial"/>
                <w:sz w:val="20"/>
                <w:szCs w:val="20"/>
              </w:rPr>
              <w:t>From 6 April 202</w:t>
            </w:r>
            <w:r>
              <w:rPr>
                <w:rFonts w:ascii="Arial" w:hAnsi="Arial" w:cs="Arial"/>
                <w:sz w:val="20"/>
                <w:szCs w:val="20"/>
              </w:rPr>
              <w:t>3</w:t>
            </w:r>
            <w:r w:rsidRPr="00D11401">
              <w:rPr>
                <w:rFonts w:ascii="Arial" w:hAnsi="Arial" w:cs="Arial"/>
                <w:sz w:val="20"/>
                <w:szCs w:val="20"/>
              </w:rPr>
              <w:t xml:space="preserve"> to 5 </w:t>
            </w:r>
            <w:r>
              <w:rPr>
                <w:rFonts w:ascii="Arial" w:hAnsi="Arial" w:cs="Arial"/>
                <w:sz w:val="20"/>
                <w:szCs w:val="20"/>
              </w:rPr>
              <w:t>January 2024</w:t>
            </w:r>
          </w:p>
          <w:p w14:paraId="6EFC7708" w14:textId="77777777" w:rsidR="002406B0" w:rsidRPr="00D11401" w:rsidRDefault="002406B0" w:rsidP="00423AD9">
            <w:pPr>
              <w:pStyle w:val="NoSpacing"/>
              <w:jc w:val="both"/>
              <w:rPr>
                <w:rFonts w:ascii="Arial" w:hAnsi="Arial" w:cs="Arial"/>
                <w:sz w:val="20"/>
                <w:szCs w:val="20"/>
              </w:rPr>
            </w:pPr>
            <w:r w:rsidRPr="00D11401">
              <w:rPr>
                <w:rFonts w:ascii="Arial" w:hAnsi="Arial" w:cs="Arial"/>
                <w:sz w:val="20"/>
                <w:szCs w:val="20"/>
              </w:rPr>
              <w:t xml:space="preserve">From 6 </w:t>
            </w:r>
            <w:r>
              <w:rPr>
                <w:rFonts w:ascii="Arial" w:hAnsi="Arial" w:cs="Arial"/>
                <w:sz w:val="20"/>
                <w:szCs w:val="20"/>
              </w:rPr>
              <w:t xml:space="preserve">January 2024 </w:t>
            </w:r>
            <w:r w:rsidRPr="00D11401">
              <w:rPr>
                <w:rFonts w:ascii="Arial" w:hAnsi="Arial" w:cs="Arial"/>
                <w:sz w:val="20"/>
                <w:szCs w:val="20"/>
              </w:rPr>
              <w:t>to 5 April 202</w:t>
            </w:r>
            <w:r>
              <w:rPr>
                <w:rFonts w:ascii="Arial" w:hAnsi="Arial" w:cs="Arial"/>
                <w:sz w:val="20"/>
                <w:szCs w:val="20"/>
              </w:rPr>
              <w:t>4</w:t>
            </w:r>
          </w:p>
          <w:p w14:paraId="666F5E99" w14:textId="77777777" w:rsidR="002406B0" w:rsidRPr="00C770C2" w:rsidRDefault="002406B0" w:rsidP="00423AD9">
            <w:pPr>
              <w:rPr>
                <w:rFonts w:ascii="Arial" w:hAnsi="Arial" w:cs="Arial"/>
                <w:sz w:val="20"/>
                <w:szCs w:val="20"/>
              </w:rPr>
            </w:pPr>
          </w:p>
        </w:tc>
        <w:tc>
          <w:tcPr>
            <w:tcW w:w="2113" w:type="dxa"/>
            <w:tcBorders>
              <w:top w:val="single" w:sz="4" w:space="0" w:color="auto"/>
              <w:left w:val="single" w:sz="4" w:space="0" w:color="auto"/>
              <w:bottom w:val="single" w:sz="4" w:space="0" w:color="auto"/>
              <w:right w:val="single" w:sz="4" w:space="0" w:color="auto"/>
            </w:tcBorders>
            <w:noWrap/>
            <w:hideMark/>
          </w:tcPr>
          <w:p w14:paraId="598CF49D" w14:textId="77777777" w:rsidR="002406B0" w:rsidRPr="00423AD9" w:rsidRDefault="002406B0" w:rsidP="00423AD9">
            <w:pPr>
              <w:pStyle w:val="NoSpacing"/>
              <w:jc w:val="right"/>
              <w:rPr>
                <w:rFonts w:ascii="Arial" w:hAnsi="Arial" w:cs="Arial"/>
                <w:sz w:val="20"/>
                <w:szCs w:val="20"/>
              </w:rPr>
            </w:pPr>
            <w:r w:rsidRPr="00423AD9">
              <w:rPr>
                <w:rFonts w:ascii="Arial" w:hAnsi="Arial" w:cs="Arial"/>
                <w:sz w:val="20"/>
                <w:szCs w:val="20"/>
              </w:rPr>
              <w:t>8%</w:t>
            </w:r>
          </w:p>
          <w:p w14:paraId="0F910D7F" w14:textId="77777777" w:rsidR="002406B0" w:rsidRPr="00423AD9" w:rsidRDefault="002406B0" w:rsidP="00423AD9">
            <w:pPr>
              <w:jc w:val="right"/>
              <w:rPr>
                <w:rFonts w:ascii="Arial" w:hAnsi="Arial" w:cs="Arial"/>
                <w:sz w:val="20"/>
                <w:szCs w:val="20"/>
              </w:rPr>
            </w:pPr>
          </w:p>
        </w:tc>
        <w:tc>
          <w:tcPr>
            <w:tcW w:w="1749" w:type="dxa"/>
            <w:tcBorders>
              <w:top w:val="single" w:sz="4" w:space="0" w:color="auto"/>
              <w:left w:val="single" w:sz="4" w:space="0" w:color="auto"/>
              <w:bottom w:val="single" w:sz="4" w:space="0" w:color="auto"/>
              <w:right w:val="single" w:sz="4" w:space="0" w:color="auto"/>
            </w:tcBorders>
            <w:noWrap/>
            <w:hideMark/>
          </w:tcPr>
          <w:p w14:paraId="4ABF682D" w14:textId="77777777" w:rsidR="002406B0" w:rsidRDefault="002406B0" w:rsidP="00423AD9">
            <w:pPr>
              <w:pStyle w:val="NoSpacing"/>
              <w:jc w:val="right"/>
              <w:rPr>
                <w:rFonts w:ascii="Arial" w:hAnsi="Arial" w:cs="Arial"/>
                <w:sz w:val="20"/>
                <w:szCs w:val="20"/>
              </w:rPr>
            </w:pPr>
          </w:p>
          <w:p w14:paraId="6FB95B4A" w14:textId="77777777" w:rsidR="002406B0" w:rsidRDefault="002406B0" w:rsidP="00423AD9">
            <w:pPr>
              <w:pStyle w:val="NoSpacing"/>
              <w:jc w:val="right"/>
              <w:rPr>
                <w:rFonts w:ascii="Arial" w:hAnsi="Arial" w:cs="Arial"/>
                <w:sz w:val="20"/>
                <w:szCs w:val="20"/>
              </w:rPr>
            </w:pPr>
            <w:r>
              <w:rPr>
                <w:rFonts w:ascii="Arial" w:hAnsi="Arial" w:cs="Arial"/>
                <w:sz w:val="20"/>
                <w:szCs w:val="20"/>
              </w:rPr>
              <w:t>12%</w:t>
            </w:r>
          </w:p>
          <w:p w14:paraId="34F02902" w14:textId="77777777" w:rsidR="002406B0" w:rsidRDefault="002406B0" w:rsidP="00423AD9">
            <w:pPr>
              <w:pStyle w:val="NoSpacing"/>
              <w:jc w:val="right"/>
              <w:rPr>
                <w:rFonts w:ascii="Arial" w:hAnsi="Arial" w:cs="Arial"/>
                <w:sz w:val="20"/>
                <w:szCs w:val="20"/>
              </w:rPr>
            </w:pPr>
            <w:r>
              <w:rPr>
                <w:rFonts w:ascii="Arial" w:hAnsi="Arial" w:cs="Arial"/>
                <w:sz w:val="20"/>
                <w:szCs w:val="20"/>
              </w:rPr>
              <w:t>10%</w:t>
            </w:r>
          </w:p>
          <w:p w14:paraId="7C6206C4" w14:textId="77777777" w:rsidR="002406B0" w:rsidRPr="003E275B" w:rsidRDefault="002406B0" w:rsidP="00423AD9">
            <w:pPr>
              <w:pStyle w:val="NoSpacing"/>
              <w:jc w:val="right"/>
              <w:rPr>
                <w:rFonts w:ascii="Arial" w:hAnsi="Arial" w:cs="Arial"/>
                <w:sz w:val="20"/>
                <w:szCs w:val="20"/>
              </w:rPr>
            </w:pPr>
          </w:p>
        </w:tc>
      </w:tr>
      <w:tr w:rsidR="002406B0" w:rsidRPr="003E275B" w14:paraId="35034DE6"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45EE35DE" w14:textId="77777777" w:rsidR="002406B0" w:rsidRPr="00C770C2" w:rsidRDefault="002406B0" w:rsidP="00423AD9">
            <w:pPr>
              <w:pStyle w:val="NoSpacing"/>
              <w:rPr>
                <w:rFonts w:ascii="Arial" w:hAnsi="Arial" w:cs="Arial"/>
                <w:sz w:val="20"/>
                <w:szCs w:val="20"/>
              </w:rPr>
            </w:pPr>
            <w:r w:rsidRPr="00D11401">
              <w:rPr>
                <w:rFonts w:ascii="Arial" w:hAnsi="Arial" w:cs="Arial"/>
                <w:sz w:val="20"/>
                <w:szCs w:val="20"/>
              </w:rPr>
              <w:t xml:space="preserve">Employee’s primary class 1 rate above upper earnings limit </w:t>
            </w:r>
          </w:p>
        </w:tc>
        <w:tc>
          <w:tcPr>
            <w:tcW w:w="2113" w:type="dxa"/>
            <w:tcBorders>
              <w:top w:val="single" w:sz="4" w:space="0" w:color="auto"/>
              <w:left w:val="single" w:sz="4" w:space="0" w:color="auto"/>
              <w:bottom w:val="single" w:sz="4" w:space="0" w:color="auto"/>
              <w:right w:val="single" w:sz="4" w:space="0" w:color="auto"/>
            </w:tcBorders>
            <w:noWrap/>
            <w:hideMark/>
          </w:tcPr>
          <w:p w14:paraId="5E957032" w14:textId="77777777" w:rsidR="002406B0" w:rsidRPr="00423AD9" w:rsidRDefault="002406B0" w:rsidP="00423AD9">
            <w:pPr>
              <w:pStyle w:val="NoSpacing"/>
              <w:jc w:val="right"/>
              <w:rPr>
                <w:rFonts w:ascii="Arial" w:hAnsi="Arial" w:cs="Arial"/>
                <w:sz w:val="20"/>
                <w:szCs w:val="20"/>
              </w:rPr>
            </w:pPr>
            <w:r w:rsidRPr="00423AD9">
              <w:rPr>
                <w:rFonts w:ascii="Arial" w:hAnsi="Arial" w:cs="Arial"/>
                <w:sz w:val="20"/>
                <w:szCs w:val="20"/>
              </w:rPr>
              <w:t>2%</w:t>
            </w:r>
          </w:p>
          <w:p w14:paraId="25FE133F" w14:textId="77777777" w:rsidR="002406B0" w:rsidRPr="00423AD9" w:rsidRDefault="002406B0" w:rsidP="00423AD9">
            <w:pPr>
              <w:pStyle w:val="NoSpacing"/>
              <w:jc w:val="right"/>
              <w:rPr>
                <w:rFonts w:ascii="Arial" w:hAnsi="Arial" w:cs="Arial"/>
                <w:sz w:val="20"/>
                <w:szCs w:val="20"/>
              </w:rPr>
            </w:pPr>
          </w:p>
          <w:p w14:paraId="1F350CA3" w14:textId="77777777" w:rsidR="002406B0" w:rsidRPr="00423AD9" w:rsidRDefault="002406B0" w:rsidP="00423AD9">
            <w:pPr>
              <w:jc w:val="right"/>
              <w:rPr>
                <w:rFonts w:ascii="Arial" w:hAnsi="Arial" w:cs="Arial"/>
                <w:sz w:val="20"/>
                <w:szCs w:val="20"/>
              </w:rPr>
            </w:pPr>
          </w:p>
        </w:tc>
        <w:tc>
          <w:tcPr>
            <w:tcW w:w="1749" w:type="dxa"/>
            <w:tcBorders>
              <w:top w:val="single" w:sz="4" w:space="0" w:color="auto"/>
              <w:left w:val="single" w:sz="4" w:space="0" w:color="auto"/>
              <w:bottom w:val="single" w:sz="4" w:space="0" w:color="auto"/>
              <w:right w:val="single" w:sz="4" w:space="0" w:color="auto"/>
            </w:tcBorders>
            <w:noWrap/>
            <w:hideMark/>
          </w:tcPr>
          <w:p w14:paraId="51329E42" w14:textId="77777777" w:rsidR="002406B0" w:rsidRPr="000A285A" w:rsidRDefault="002406B0" w:rsidP="00423AD9">
            <w:pPr>
              <w:pStyle w:val="NoSpacing"/>
              <w:jc w:val="right"/>
              <w:rPr>
                <w:rFonts w:ascii="Arial" w:hAnsi="Arial" w:cs="Arial"/>
                <w:sz w:val="20"/>
                <w:szCs w:val="20"/>
              </w:rPr>
            </w:pPr>
            <w:r w:rsidRPr="000A285A">
              <w:rPr>
                <w:rFonts w:ascii="Arial" w:hAnsi="Arial" w:cs="Arial"/>
                <w:sz w:val="20"/>
                <w:szCs w:val="20"/>
              </w:rPr>
              <w:t>2%</w:t>
            </w:r>
          </w:p>
          <w:p w14:paraId="1DEE2A09" w14:textId="77777777" w:rsidR="002406B0" w:rsidRPr="000A285A" w:rsidRDefault="002406B0" w:rsidP="00423AD9">
            <w:pPr>
              <w:pStyle w:val="NoSpacing"/>
              <w:jc w:val="right"/>
              <w:rPr>
                <w:rFonts w:ascii="Arial" w:hAnsi="Arial" w:cs="Arial"/>
                <w:sz w:val="20"/>
                <w:szCs w:val="20"/>
              </w:rPr>
            </w:pPr>
          </w:p>
          <w:p w14:paraId="54CF6FDD" w14:textId="77777777" w:rsidR="002406B0" w:rsidRPr="003E275B" w:rsidRDefault="002406B0" w:rsidP="00423AD9">
            <w:pPr>
              <w:jc w:val="right"/>
              <w:rPr>
                <w:rFonts w:ascii="Arial" w:hAnsi="Arial" w:cs="Arial"/>
                <w:sz w:val="20"/>
                <w:szCs w:val="20"/>
              </w:rPr>
            </w:pPr>
          </w:p>
        </w:tc>
      </w:tr>
      <w:tr w:rsidR="002406B0" w:rsidRPr="003E275B" w14:paraId="600CC0A5"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5AD03783" w14:textId="0B172058" w:rsidR="002406B0" w:rsidRPr="00D11401" w:rsidRDefault="002406B0" w:rsidP="00423AD9">
            <w:pPr>
              <w:pStyle w:val="NoSpacing"/>
              <w:rPr>
                <w:rFonts w:ascii="Arial" w:hAnsi="Arial" w:cs="Arial"/>
                <w:sz w:val="20"/>
                <w:szCs w:val="20"/>
              </w:rPr>
            </w:pPr>
            <w:r w:rsidRPr="00D11401">
              <w:rPr>
                <w:rFonts w:ascii="Arial" w:hAnsi="Arial" w:cs="Arial"/>
                <w:sz w:val="20"/>
                <w:szCs w:val="20"/>
              </w:rPr>
              <w:t xml:space="preserve">Married woman’s reduced rate between </w:t>
            </w:r>
            <w:r w:rsidR="00862477">
              <w:rPr>
                <w:rFonts w:ascii="Arial" w:hAnsi="Arial" w:cs="Arial"/>
                <w:sz w:val="20"/>
                <w:szCs w:val="20"/>
              </w:rPr>
              <w:t>PT and UEL</w:t>
            </w:r>
          </w:p>
          <w:p w14:paraId="00EE76F5" w14:textId="77777777" w:rsidR="002406B0" w:rsidRPr="008A54B4" w:rsidRDefault="002406B0" w:rsidP="00423AD9">
            <w:pPr>
              <w:pStyle w:val="NoSpacing"/>
              <w:rPr>
                <w:rFonts w:ascii="Arial" w:hAnsi="Arial" w:cs="Arial"/>
                <w:sz w:val="20"/>
                <w:szCs w:val="20"/>
              </w:rPr>
            </w:pPr>
            <w:r w:rsidRPr="008A54B4">
              <w:rPr>
                <w:rFonts w:ascii="Arial" w:hAnsi="Arial" w:cs="Arial"/>
                <w:sz w:val="20"/>
                <w:szCs w:val="20"/>
              </w:rPr>
              <w:t>From 6 April 2023 to 5 January 2024</w:t>
            </w:r>
          </w:p>
          <w:p w14:paraId="57564ABA" w14:textId="77777777" w:rsidR="002406B0" w:rsidRPr="00C770C2" w:rsidRDefault="002406B0" w:rsidP="00423AD9">
            <w:pPr>
              <w:pStyle w:val="NoSpacing"/>
              <w:rPr>
                <w:rFonts w:ascii="Arial" w:hAnsi="Arial" w:cs="Arial"/>
                <w:sz w:val="20"/>
                <w:szCs w:val="20"/>
              </w:rPr>
            </w:pPr>
            <w:r w:rsidRPr="008A54B4">
              <w:rPr>
                <w:rFonts w:ascii="Arial" w:hAnsi="Arial" w:cs="Arial"/>
                <w:sz w:val="20"/>
                <w:szCs w:val="20"/>
              </w:rPr>
              <w:t>From 6 January 2024 to 5 April 2024</w:t>
            </w:r>
          </w:p>
        </w:tc>
        <w:tc>
          <w:tcPr>
            <w:tcW w:w="2113" w:type="dxa"/>
            <w:tcBorders>
              <w:top w:val="single" w:sz="4" w:space="0" w:color="auto"/>
              <w:left w:val="single" w:sz="4" w:space="0" w:color="auto"/>
              <w:bottom w:val="single" w:sz="4" w:space="0" w:color="auto"/>
              <w:right w:val="single" w:sz="4" w:space="0" w:color="auto"/>
            </w:tcBorders>
            <w:noWrap/>
            <w:hideMark/>
          </w:tcPr>
          <w:p w14:paraId="247DA47B" w14:textId="77777777" w:rsidR="002406B0" w:rsidRPr="00423AD9" w:rsidRDefault="002406B0" w:rsidP="00423AD9">
            <w:pPr>
              <w:jc w:val="right"/>
              <w:rPr>
                <w:rFonts w:ascii="Arial" w:hAnsi="Arial" w:cs="Arial"/>
                <w:sz w:val="20"/>
                <w:szCs w:val="20"/>
              </w:rPr>
            </w:pPr>
            <w:r w:rsidRPr="00423AD9">
              <w:rPr>
                <w:rFonts w:ascii="Arial" w:hAnsi="Arial" w:cs="Arial"/>
                <w:sz w:val="20"/>
                <w:szCs w:val="20"/>
              </w:rPr>
              <w:t>1.85%</w:t>
            </w:r>
          </w:p>
        </w:tc>
        <w:tc>
          <w:tcPr>
            <w:tcW w:w="1749" w:type="dxa"/>
            <w:tcBorders>
              <w:top w:val="single" w:sz="4" w:space="0" w:color="auto"/>
              <w:left w:val="single" w:sz="4" w:space="0" w:color="auto"/>
              <w:bottom w:val="single" w:sz="4" w:space="0" w:color="auto"/>
              <w:right w:val="single" w:sz="4" w:space="0" w:color="auto"/>
            </w:tcBorders>
            <w:noWrap/>
            <w:hideMark/>
          </w:tcPr>
          <w:p w14:paraId="031BB8A3" w14:textId="77777777" w:rsidR="002406B0" w:rsidRDefault="002406B0" w:rsidP="00423AD9">
            <w:pPr>
              <w:rPr>
                <w:rFonts w:ascii="Arial" w:hAnsi="Arial" w:cs="Arial"/>
                <w:sz w:val="20"/>
                <w:szCs w:val="20"/>
              </w:rPr>
            </w:pPr>
          </w:p>
          <w:p w14:paraId="5986F04C" w14:textId="77777777" w:rsidR="002406B0" w:rsidRPr="008A54B4" w:rsidRDefault="002406B0" w:rsidP="00423AD9">
            <w:pPr>
              <w:pStyle w:val="NoSpacing"/>
              <w:jc w:val="right"/>
            </w:pPr>
            <w:r>
              <w:t>5.85</w:t>
            </w:r>
            <w:r w:rsidRPr="008A54B4">
              <w:t>%</w:t>
            </w:r>
          </w:p>
          <w:p w14:paraId="28BD7E76" w14:textId="77777777" w:rsidR="002406B0" w:rsidRPr="008A54B4" w:rsidRDefault="002406B0" w:rsidP="00423AD9">
            <w:pPr>
              <w:pStyle w:val="NoSpacing"/>
              <w:jc w:val="right"/>
            </w:pPr>
            <w:r>
              <w:t>3.85</w:t>
            </w:r>
            <w:r w:rsidRPr="008A54B4">
              <w:t>%</w:t>
            </w:r>
          </w:p>
          <w:p w14:paraId="08A94019" w14:textId="77777777" w:rsidR="002406B0" w:rsidRPr="003E275B" w:rsidRDefault="002406B0" w:rsidP="00423AD9">
            <w:pPr>
              <w:rPr>
                <w:rFonts w:ascii="Arial" w:hAnsi="Arial" w:cs="Arial"/>
                <w:sz w:val="20"/>
                <w:szCs w:val="20"/>
              </w:rPr>
            </w:pPr>
          </w:p>
        </w:tc>
      </w:tr>
      <w:tr w:rsidR="002406B0" w:rsidRPr="003E275B" w14:paraId="0607C7D2"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tcPr>
          <w:p w14:paraId="6447514E" w14:textId="77777777" w:rsidR="002406B0" w:rsidRPr="00D11401" w:rsidRDefault="002406B0" w:rsidP="00423AD9">
            <w:pPr>
              <w:pStyle w:val="NoSpacing"/>
              <w:rPr>
                <w:rFonts w:ascii="Arial" w:hAnsi="Arial" w:cs="Arial"/>
                <w:sz w:val="20"/>
                <w:szCs w:val="20"/>
              </w:rPr>
            </w:pPr>
            <w:r w:rsidRPr="00D11401">
              <w:rPr>
                <w:rFonts w:ascii="Arial" w:hAnsi="Arial" w:cs="Arial"/>
                <w:sz w:val="20"/>
                <w:szCs w:val="20"/>
              </w:rPr>
              <w:t>Married woman’s rate above upper earnings limit</w:t>
            </w:r>
          </w:p>
        </w:tc>
        <w:tc>
          <w:tcPr>
            <w:tcW w:w="2113" w:type="dxa"/>
            <w:tcBorders>
              <w:top w:val="single" w:sz="4" w:space="0" w:color="auto"/>
              <w:left w:val="single" w:sz="4" w:space="0" w:color="auto"/>
              <w:bottom w:val="single" w:sz="4" w:space="0" w:color="auto"/>
              <w:right w:val="single" w:sz="4" w:space="0" w:color="auto"/>
            </w:tcBorders>
            <w:noWrap/>
          </w:tcPr>
          <w:p w14:paraId="1F071599" w14:textId="77777777" w:rsidR="002406B0" w:rsidRPr="00423AD9" w:rsidRDefault="002406B0" w:rsidP="00423AD9">
            <w:pPr>
              <w:jc w:val="right"/>
              <w:rPr>
                <w:rFonts w:ascii="Arial" w:eastAsia="Calibri" w:hAnsi="Arial" w:cs="Arial"/>
                <w:sz w:val="20"/>
                <w:szCs w:val="20"/>
              </w:rPr>
            </w:pPr>
            <w:r w:rsidRPr="00423AD9">
              <w:rPr>
                <w:rFonts w:ascii="Arial" w:hAnsi="Arial" w:cs="Arial"/>
                <w:sz w:val="20"/>
                <w:szCs w:val="20"/>
              </w:rPr>
              <w:t>2%</w:t>
            </w:r>
          </w:p>
        </w:tc>
        <w:tc>
          <w:tcPr>
            <w:tcW w:w="1749" w:type="dxa"/>
            <w:tcBorders>
              <w:top w:val="single" w:sz="4" w:space="0" w:color="auto"/>
              <w:left w:val="single" w:sz="4" w:space="0" w:color="auto"/>
              <w:bottom w:val="single" w:sz="4" w:space="0" w:color="auto"/>
              <w:right w:val="single" w:sz="4" w:space="0" w:color="auto"/>
            </w:tcBorders>
            <w:noWrap/>
          </w:tcPr>
          <w:p w14:paraId="6DD45683" w14:textId="77777777" w:rsidR="002406B0" w:rsidRPr="003E275B" w:rsidRDefault="002406B0" w:rsidP="00423AD9">
            <w:pPr>
              <w:jc w:val="right"/>
              <w:rPr>
                <w:rFonts w:ascii="Arial" w:eastAsia="Calibri" w:hAnsi="Arial" w:cs="Arial"/>
                <w:sz w:val="20"/>
                <w:szCs w:val="20"/>
              </w:rPr>
            </w:pPr>
            <w:r w:rsidRPr="00D11401">
              <w:rPr>
                <w:rFonts w:ascii="Arial" w:hAnsi="Arial" w:cs="Arial"/>
                <w:sz w:val="20"/>
                <w:szCs w:val="20"/>
              </w:rPr>
              <w:t>2%</w:t>
            </w:r>
          </w:p>
        </w:tc>
      </w:tr>
      <w:tr w:rsidR="002406B0" w:rsidRPr="00594357" w14:paraId="58F18A5E"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tcPr>
          <w:p w14:paraId="738969E0" w14:textId="512FB5CE" w:rsidR="002406B0" w:rsidRPr="00594357" w:rsidRDefault="002406B0" w:rsidP="00423AD9">
            <w:pPr>
              <w:pStyle w:val="NoSpacing"/>
              <w:rPr>
                <w:rFonts w:ascii="Arial" w:hAnsi="Arial" w:cs="Arial"/>
                <w:sz w:val="20"/>
                <w:szCs w:val="20"/>
                <w:lang w:eastAsia="en-GB"/>
              </w:rPr>
            </w:pPr>
            <w:r w:rsidRPr="00D11401">
              <w:rPr>
                <w:rFonts w:ascii="Arial" w:hAnsi="Arial" w:cs="Arial"/>
                <w:sz w:val="20"/>
                <w:szCs w:val="20"/>
              </w:rPr>
              <w:t xml:space="preserve">Employer's secondary class 1 rate above secondary threshold </w:t>
            </w:r>
          </w:p>
        </w:tc>
        <w:tc>
          <w:tcPr>
            <w:tcW w:w="2113" w:type="dxa"/>
            <w:tcBorders>
              <w:top w:val="single" w:sz="4" w:space="0" w:color="auto"/>
              <w:left w:val="single" w:sz="4" w:space="0" w:color="auto"/>
              <w:bottom w:val="single" w:sz="4" w:space="0" w:color="auto"/>
              <w:right w:val="single" w:sz="4" w:space="0" w:color="auto"/>
            </w:tcBorders>
            <w:noWrap/>
          </w:tcPr>
          <w:p w14:paraId="79AFA51E" w14:textId="77777777" w:rsidR="002406B0" w:rsidRPr="00423AD9" w:rsidRDefault="002406B0" w:rsidP="00423AD9">
            <w:pPr>
              <w:pStyle w:val="NoSpacing"/>
              <w:jc w:val="right"/>
              <w:rPr>
                <w:rFonts w:ascii="Arial" w:hAnsi="Arial" w:cs="Arial"/>
                <w:sz w:val="20"/>
                <w:szCs w:val="20"/>
              </w:rPr>
            </w:pPr>
            <w:r w:rsidRPr="00423AD9">
              <w:rPr>
                <w:rFonts w:ascii="Arial" w:hAnsi="Arial" w:cs="Arial"/>
                <w:sz w:val="20"/>
                <w:szCs w:val="20"/>
              </w:rPr>
              <w:t>13.8%</w:t>
            </w:r>
          </w:p>
        </w:tc>
        <w:tc>
          <w:tcPr>
            <w:tcW w:w="1749" w:type="dxa"/>
            <w:tcBorders>
              <w:top w:val="single" w:sz="4" w:space="0" w:color="auto"/>
              <w:left w:val="single" w:sz="4" w:space="0" w:color="auto"/>
              <w:bottom w:val="single" w:sz="4" w:space="0" w:color="auto"/>
              <w:right w:val="single" w:sz="4" w:space="0" w:color="auto"/>
            </w:tcBorders>
            <w:noWrap/>
          </w:tcPr>
          <w:p w14:paraId="625E5BB8" w14:textId="77777777" w:rsidR="002406B0" w:rsidRPr="00594357" w:rsidRDefault="002406B0" w:rsidP="00423AD9">
            <w:pPr>
              <w:pStyle w:val="NoSpacing"/>
              <w:jc w:val="right"/>
              <w:rPr>
                <w:rFonts w:ascii="Arial" w:hAnsi="Arial" w:cs="Arial"/>
                <w:sz w:val="20"/>
                <w:szCs w:val="20"/>
              </w:rPr>
            </w:pPr>
            <w:r w:rsidRPr="005F165E">
              <w:rPr>
                <w:rFonts w:ascii="Arial" w:hAnsi="Arial" w:cs="Arial"/>
                <w:sz w:val="20"/>
                <w:szCs w:val="20"/>
              </w:rPr>
              <w:t>13.8%</w:t>
            </w:r>
          </w:p>
        </w:tc>
      </w:tr>
      <w:tr w:rsidR="002406B0" w:rsidRPr="005F165E" w14:paraId="2EC295E5"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vAlign w:val="bottom"/>
          </w:tcPr>
          <w:p w14:paraId="455620E6" w14:textId="77777777" w:rsidR="002406B0" w:rsidRPr="003023D5" w:rsidRDefault="002406B0" w:rsidP="00423AD9">
            <w:pPr>
              <w:pStyle w:val="NoSpacing"/>
              <w:rPr>
                <w:rFonts w:ascii="Arial" w:hAnsi="Arial" w:cs="Arial"/>
                <w:sz w:val="20"/>
                <w:szCs w:val="20"/>
              </w:rPr>
            </w:pPr>
            <w:r w:rsidRPr="003023D5">
              <w:rPr>
                <w:rFonts w:ascii="Arial" w:hAnsi="Arial" w:cs="Arial"/>
                <w:sz w:val="20"/>
                <w:szCs w:val="20"/>
                <w:lang w:eastAsia="en-GB"/>
              </w:rPr>
              <w:t xml:space="preserve">Class 2 small profits threshold (per year) </w:t>
            </w:r>
          </w:p>
        </w:tc>
        <w:tc>
          <w:tcPr>
            <w:tcW w:w="2113" w:type="dxa"/>
            <w:tcBorders>
              <w:top w:val="single" w:sz="4" w:space="0" w:color="auto"/>
              <w:left w:val="single" w:sz="4" w:space="0" w:color="auto"/>
              <w:bottom w:val="single" w:sz="4" w:space="0" w:color="auto"/>
              <w:right w:val="single" w:sz="4" w:space="0" w:color="auto"/>
            </w:tcBorders>
            <w:noWrap/>
          </w:tcPr>
          <w:p w14:paraId="1438EED9" w14:textId="77777777" w:rsidR="002406B0" w:rsidRPr="003023D5" w:rsidRDefault="002406B0" w:rsidP="00423AD9">
            <w:pPr>
              <w:pStyle w:val="NoSpacing"/>
              <w:jc w:val="right"/>
              <w:rPr>
                <w:rFonts w:ascii="Arial" w:hAnsi="Arial" w:cs="Arial"/>
                <w:sz w:val="20"/>
                <w:szCs w:val="20"/>
              </w:rPr>
            </w:pPr>
            <w:r w:rsidRPr="003023D5">
              <w:rPr>
                <w:rFonts w:ascii="Arial" w:hAnsi="Arial" w:cs="Arial"/>
                <w:sz w:val="20"/>
                <w:szCs w:val="20"/>
              </w:rPr>
              <w:t>£6,725</w:t>
            </w:r>
          </w:p>
        </w:tc>
        <w:tc>
          <w:tcPr>
            <w:tcW w:w="1749" w:type="dxa"/>
            <w:tcBorders>
              <w:top w:val="single" w:sz="4" w:space="0" w:color="auto"/>
              <w:left w:val="single" w:sz="4" w:space="0" w:color="auto"/>
              <w:bottom w:val="single" w:sz="4" w:space="0" w:color="auto"/>
              <w:right w:val="single" w:sz="4" w:space="0" w:color="auto"/>
            </w:tcBorders>
            <w:noWrap/>
          </w:tcPr>
          <w:p w14:paraId="672FC5C2" w14:textId="77777777" w:rsidR="002406B0" w:rsidRPr="003023D5" w:rsidRDefault="002406B0" w:rsidP="00423AD9">
            <w:pPr>
              <w:pStyle w:val="NoSpacing"/>
              <w:jc w:val="right"/>
              <w:rPr>
                <w:rFonts w:ascii="Arial" w:hAnsi="Arial" w:cs="Arial"/>
                <w:sz w:val="20"/>
                <w:szCs w:val="20"/>
              </w:rPr>
            </w:pPr>
            <w:r w:rsidRPr="003023D5">
              <w:rPr>
                <w:rFonts w:ascii="Arial" w:hAnsi="Arial" w:cs="Arial"/>
                <w:sz w:val="20"/>
                <w:szCs w:val="20"/>
              </w:rPr>
              <w:t>£6,725</w:t>
            </w:r>
          </w:p>
        </w:tc>
      </w:tr>
      <w:tr w:rsidR="002406B0" w:rsidRPr="005F165E" w14:paraId="763F05BA"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vAlign w:val="bottom"/>
          </w:tcPr>
          <w:p w14:paraId="79FD33AD" w14:textId="77777777" w:rsidR="002406B0" w:rsidRPr="00D11401" w:rsidRDefault="002406B0" w:rsidP="00423AD9">
            <w:pPr>
              <w:pStyle w:val="NoSpacing"/>
              <w:rPr>
                <w:rFonts w:ascii="Arial" w:hAnsi="Arial" w:cs="Arial"/>
                <w:sz w:val="20"/>
                <w:szCs w:val="20"/>
              </w:rPr>
            </w:pPr>
            <w:r w:rsidRPr="00D11401">
              <w:rPr>
                <w:rFonts w:ascii="Arial" w:hAnsi="Arial" w:cs="Arial"/>
                <w:sz w:val="20"/>
                <w:szCs w:val="20"/>
                <w:lang w:eastAsia="en-GB"/>
              </w:rPr>
              <w:t xml:space="preserve">Class 2 </w:t>
            </w:r>
            <w:r>
              <w:rPr>
                <w:rFonts w:ascii="Arial" w:hAnsi="Arial" w:cs="Arial"/>
                <w:sz w:val="20"/>
                <w:szCs w:val="20"/>
                <w:lang w:eastAsia="en-GB"/>
              </w:rPr>
              <w:t>lower</w:t>
            </w:r>
            <w:r w:rsidRPr="00D11401">
              <w:rPr>
                <w:rFonts w:ascii="Arial" w:hAnsi="Arial" w:cs="Arial"/>
                <w:sz w:val="20"/>
                <w:szCs w:val="20"/>
                <w:lang w:eastAsia="en-GB"/>
              </w:rPr>
              <w:t xml:space="preserve"> profits threshold (per year) </w:t>
            </w:r>
          </w:p>
        </w:tc>
        <w:tc>
          <w:tcPr>
            <w:tcW w:w="2113" w:type="dxa"/>
            <w:tcBorders>
              <w:top w:val="single" w:sz="4" w:space="0" w:color="auto"/>
              <w:left w:val="single" w:sz="4" w:space="0" w:color="auto"/>
              <w:bottom w:val="single" w:sz="4" w:space="0" w:color="auto"/>
              <w:right w:val="single" w:sz="4" w:space="0" w:color="auto"/>
            </w:tcBorders>
            <w:noWrap/>
          </w:tcPr>
          <w:p w14:paraId="01B46A9D" w14:textId="77777777" w:rsidR="002406B0" w:rsidRPr="00423AD9" w:rsidRDefault="002406B0" w:rsidP="00423AD9">
            <w:pPr>
              <w:pStyle w:val="NoSpacing"/>
              <w:jc w:val="right"/>
              <w:rPr>
                <w:rFonts w:ascii="Arial" w:hAnsi="Arial" w:cs="Arial"/>
                <w:sz w:val="20"/>
                <w:szCs w:val="20"/>
              </w:rPr>
            </w:pPr>
            <w:r w:rsidRPr="00423AD9">
              <w:rPr>
                <w:rFonts w:ascii="Arial" w:hAnsi="Arial" w:cs="Arial"/>
                <w:sz w:val="20"/>
                <w:szCs w:val="20"/>
              </w:rPr>
              <w:t>n/a</w:t>
            </w:r>
          </w:p>
        </w:tc>
        <w:tc>
          <w:tcPr>
            <w:tcW w:w="1749" w:type="dxa"/>
            <w:tcBorders>
              <w:top w:val="single" w:sz="4" w:space="0" w:color="auto"/>
              <w:left w:val="single" w:sz="4" w:space="0" w:color="auto"/>
              <w:bottom w:val="single" w:sz="4" w:space="0" w:color="auto"/>
              <w:right w:val="single" w:sz="4" w:space="0" w:color="auto"/>
            </w:tcBorders>
            <w:noWrap/>
          </w:tcPr>
          <w:p w14:paraId="016AB8C5" w14:textId="77777777" w:rsidR="002406B0" w:rsidRPr="005F165E" w:rsidRDefault="002406B0" w:rsidP="00423AD9">
            <w:pPr>
              <w:pStyle w:val="NoSpacing"/>
              <w:jc w:val="right"/>
              <w:rPr>
                <w:rFonts w:ascii="Arial" w:hAnsi="Arial" w:cs="Arial"/>
                <w:sz w:val="20"/>
                <w:szCs w:val="20"/>
              </w:rPr>
            </w:pPr>
            <w:r>
              <w:rPr>
                <w:rFonts w:ascii="Arial" w:hAnsi="Arial" w:cs="Arial"/>
                <w:sz w:val="20"/>
                <w:szCs w:val="20"/>
              </w:rPr>
              <w:t>12,570</w:t>
            </w:r>
          </w:p>
        </w:tc>
      </w:tr>
      <w:tr w:rsidR="002406B0" w:rsidRPr="005F165E" w14:paraId="4D83D2D5"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tcPr>
          <w:p w14:paraId="6ACBAF31" w14:textId="77777777" w:rsidR="002406B0" w:rsidRPr="00D11401" w:rsidRDefault="002406B0" w:rsidP="00423AD9">
            <w:pPr>
              <w:pStyle w:val="NoSpacing"/>
              <w:rPr>
                <w:rFonts w:ascii="Arial" w:hAnsi="Arial" w:cs="Arial"/>
                <w:sz w:val="20"/>
                <w:szCs w:val="20"/>
              </w:rPr>
            </w:pPr>
            <w:r>
              <w:rPr>
                <w:rFonts w:ascii="Arial" w:hAnsi="Arial" w:cs="Arial"/>
                <w:sz w:val="20"/>
                <w:szCs w:val="20"/>
              </w:rPr>
              <w:t>Class 2 small profit threshold (voluntary- per week)</w:t>
            </w:r>
          </w:p>
        </w:tc>
        <w:tc>
          <w:tcPr>
            <w:tcW w:w="2113" w:type="dxa"/>
            <w:tcBorders>
              <w:top w:val="single" w:sz="4" w:space="0" w:color="auto"/>
              <w:left w:val="single" w:sz="4" w:space="0" w:color="auto"/>
              <w:bottom w:val="single" w:sz="4" w:space="0" w:color="auto"/>
              <w:right w:val="single" w:sz="4" w:space="0" w:color="auto"/>
            </w:tcBorders>
            <w:noWrap/>
          </w:tcPr>
          <w:p w14:paraId="230CD6ED" w14:textId="77777777" w:rsidR="002406B0" w:rsidRPr="00423AD9" w:rsidRDefault="002406B0" w:rsidP="00423AD9">
            <w:pPr>
              <w:pStyle w:val="NoSpacing"/>
              <w:jc w:val="right"/>
              <w:rPr>
                <w:rFonts w:ascii="Arial" w:hAnsi="Arial" w:cs="Arial"/>
                <w:sz w:val="20"/>
                <w:szCs w:val="20"/>
              </w:rPr>
            </w:pPr>
            <w:r w:rsidRPr="00423AD9">
              <w:rPr>
                <w:rFonts w:ascii="Arial" w:hAnsi="Arial" w:cs="Arial"/>
                <w:sz w:val="20"/>
                <w:szCs w:val="20"/>
              </w:rPr>
              <w:t>£3.45</w:t>
            </w:r>
          </w:p>
        </w:tc>
        <w:tc>
          <w:tcPr>
            <w:tcW w:w="1749" w:type="dxa"/>
            <w:tcBorders>
              <w:top w:val="single" w:sz="4" w:space="0" w:color="auto"/>
              <w:left w:val="single" w:sz="4" w:space="0" w:color="auto"/>
              <w:bottom w:val="single" w:sz="4" w:space="0" w:color="auto"/>
              <w:right w:val="single" w:sz="4" w:space="0" w:color="auto"/>
            </w:tcBorders>
            <w:noWrap/>
          </w:tcPr>
          <w:p w14:paraId="3E9DF9C5" w14:textId="77777777" w:rsidR="002406B0" w:rsidRPr="005F165E" w:rsidRDefault="002406B0" w:rsidP="00423AD9">
            <w:pPr>
              <w:pStyle w:val="NoSpacing"/>
              <w:jc w:val="right"/>
              <w:rPr>
                <w:rFonts w:ascii="Arial" w:hAnsi="Arial" w:cs="Arial"/>
                <w:sz w:val="20"/>
                <w:szCs w:val="20"/>
              </w:rPr>
            </w:pPr>
            <w:r>
              <w:rPr>
                <w:rFonts w:ascii="Arial" w:hAnsi="Arial" w:cs="Arial"/>
                <w:sz w:val="20"/>
                <w:szCs w:val="20"/>
              </w:rPr>
              <w:t>£3.45</w:t>
            </w:r>
          </w:p>
        </w:tc>
      </w:tr>
      <w:tr w:rsidR="002406B0" w:rsidRPr="005F165E" w14:paraId="3B714861"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tcPr>
          <w:p w14:paraId="46B35C1F" w14:textId="77777777" w:rsidR="002406B0" w:rsidRPr="00D11401" w:rsidRDefault="002406B0" w:rsidP="00423AD9">
            <w:pPr>
              <w:rPr>
                <w:rFonts w:ascii="Arial" w:eastAsia="Calibri" w:hAnsi="Arial" w:cs="Arial"/>
                <w:sz w:val="20"/>
                <w:szCs w:val="20"/>
              </w:rPr>
            </w:pPr>
            <w:r w:rsidRPr="00594357">
              <w:rPr>
                <w:rFonts w:ascii="Arial" w:hAnsi="Arial" w:cs="Arial"/>
                <w:sz w:val="20"/>
                <w:szCs w:val="20"/>
                <w:lang w:eastAsia="en-GB"/>
              </w:rPr>
              <w:t>Class 2 rate (per week where profits are above lower profits limit threshold</w:t>
            </w:r>
          </w:p>
        </w:tc>
        <w:tc>
          <w:tcPr>
            <w:tcW w:w="2113" w:type="dxa"/>
            <w:tcBorders>
              <w:top w:val="single" w:sz="4" w:space="0" w:color="auto"/>
              <w:left w:val="single" w:sz="4" w:space="0" w:color="auto"/>
              <w:bottom w:val="single" w:sz="4" w:space="0" w:color="auto"/>
              <w:right w:val="single" w:sz="4" w:space="0" w:color="auto"/>
            </w:tcBorders>
            <w:noWrap/>
          </w:tcPr>
          <w:p w14:paraId="69E1ED0C" w14:textId="77777777" w:rsidR="002406B0" w:rsidRPr="00CB782E" w:rsidRDefault="002406B0" w:rsidP="00423AD9">
            <w:pPr>
              <w:jc w:val="right"/>
              <w:rPr>
                <w:rFonts w:ascii="Arial" w:eastAsia="Calibri" w:hAnsi="Arial" w:cs="Arial"/>
                <w:sz w:val="20"/>
                <w:szCs w:val="20"/>
              </w:rPr>
            </w:pPr>
            <w:r w:rsidRPr="00D22824">
              <w:rPr>
                <w:rFonts w:ascii="Arial" w:hAnsi="Arial" w:cs="Arial"/>
                <w:sz w:val="20"/>
                <w:szCs w:val="20"/>
              </w:rPr>
              <w:t>£0</w:t>
            </w:r>
          </w:p>
        </w:tc>
        <w:tc>
          <w:tcPr>
            <w:tcW w:w="1749" w:type="dxa"/>
            <w:tcBorders>
              <w:top w:val="single" w:sz="4" w:space="0" w:color="auto"/>
              <w:left w:val="single" w:sz="4" w:space="0" w:color="auto"/>
              <w:bottom w:val="single" w:sz="4" w:space="0" w:color="auto"/>
              <w:right w:val="single" w:sz="4" w:space="0" w:color="auto"/>
            </w:tcBorders>
            <w:noWrap/>
          </w:tcPr>
          <w:p w14:paraId="1B4FD2C2" w14:textId="77777777" w:rsidR="002406B0" w:rsidRDefault="002406B0" w:rsidP="00423AD9">
            <w:pPr>
              <w:pStyle w:val="NoSpacing"/>
              <w:jc w:val="right"/>
              <w:rPr>
                <w:rFonts w:ascii="Arial" w:hAnsi="Arial" w:cs="Arial"/>
                <w:sz w:val="20"/>
                <w:szCs w:val="20"/>
              </w:rPr>
            </w:pPr>
            <w:r w:rsidRPr="00594357">
              <w:rPr>
                <w:rFonts w:ascii="Arial" w:hAnsi="Arial" w:cs="Arial"/>
                <w:sz w:val="20"/>
                <w:szCs w:val="20"/>
              </w:rPr>
              <w:t>£3.</w:t>
            </w:r>
            <w:r>
              <w:rPr>
                <w:rFonts w:ascii="Arial" w:hAnsi="Arial" w:cs="Arial"/>
                <w:sz w:val="20"/>
                <w:szCs w:val="20"/>
              </w:rPr>
              <w:t>4</w:t>
            </w:r>
            <w:r w:rsidRPr="00594357">
              <w:rPr>
                <w:rFonts w:ascii="Arial" w:hAnsi="Arial" w:cs="Arial"/>
                <w:sz w:val="20"/>
                <w:szCs w:val="20"/>
              </w:rPr>
              <w:t>5</w:t>
            </w:r>
          </w:p>
          <w:p w14:paraId="60551772" w14:textId="77777777" w:rsidR="002406B0" w:rsidRPr="005F165E" w:rsidRDefault="002406B0" w:rsidP="00423AD9">
            <w:pPr>
              <w:jc w:val="right"/>
              <w:rPr>
                <w:rFonts w:ascii="Arial" w:eastAsia="Calibri" w:hAnsi="Arial" w:cs="Arial"/>
                <w:sz w:val="20"/>
                <w:szCs w:val="20"/>
              </w:rPr>
            </w:pPr>
          </w:p>
        </w:tc>
      </w:tr>
      <w:tr w:rsidR="002406B0" w:rsidRPr="003E275B" w14:paraId="179D0C8B"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03F29486" w14:textId="77777777" w:rsidR="002406B0" w:rsidRPr="00EF34F1" w:rsidRDefault="002406B0" w:rsidP="00423AD9">
            <w:pPr>
              <w:rPr>
                <w:rFonts w:ascii="Arial" w:hAnsi="Arial" w:cs="Arial"/>
                <w:sz w:val="20"/>
                <w:szCs w:val="20"/>
              </w:rPr>
            </w:pPr>
            <w:r w:rsidRPr="00D11401">
              <w:rPr>
                <w:rFonts w:ascii="Arial" w:eastAsia="Calibri" w:hAnsi="Arial" w:cs="Arial"/>
                <w:sz w:val="20"/>
                <w:szCs w:val="20"/>
              </w:rPr>
              <w:t>Class 3 voluntary rate (per week)</w:t>
            </w:r>
          </w:p>
        </w:tc>
        <w:tc>
          <w:tcPr>
            <w:tcW w:w="2113" w:type="dxa"/>
            <w:tcBorders>
              <w:top w:val="single" w:sz="4" w:space="0" w:color="auto"/>
              <w:left w:val="single" w:sz="4" w:space="0" w:color="auto"/>
              <w:bottom w:val="single" w:sz="4" w:space="0" w:color="auto"/>
              <w:right w:val="single" w:sz="4" w:space="0" w:color="auto"/>
            </w:tcBorders>
            <w:noWrap/>
            <w:hideMark/>
          </w:tcPr>
          <w:p w14:paraId="0C387FA5" w14:textId="77777777" w:rsidR="002406B0" w:rsidRPr="00423AD9" w:rsidRDefault="002406B0" w:rsidP="00423AD9">
            <w:pPr>
              <w:jc w:val="right"/>
              <w:rPr>
                <w:rFonts w:ascii="Arial" w:hAnsi="Arial" w:cs="Arial"/>
                <w:sz w:val="20"/>
                <w:szCs w:val="20"/>
              </w:rPr>
            </w:pPr>
            <w:r w:rsidRPr="00423AD9">
              <w:rPr>
                <w:rFonts w:ascii="Arial" w:eastAsia="Calibri" w:hAnsi="Arial" w:cs="Arial"/>
                <w:sz w:val="20"/>
                <w:szCs w:val="20"/>
              </w:rPr>
              <w:t>£17.45</w:t>
            </w:r>
          </w:p>
        </w:tc>
        <w:tc>
          <w:tcPr>
            <w:tcW w:w="1749" w:type="dxa"/>
            <w:tcBorders>
              <w:top w:val="single" w:sz="4" w:space="0" w:color="auto"/>
              <w:left w:val="single" w:sz="4" w:space="0" w:color="auto"/>
              <w:bottom w:val="single" w:sz="4" w:space="0" w:color="auto"/>
              <w:right w:val="single" w:sz="4" w:space="0" w:color="auto"/>
            </w:tcBorders>
            <w:noWrap/>
            <w:hideMark/>
          </w:tcPr>
          <w:p w14:paraId="6E85A1CC" w14:textId="77777777" w:rsidR="002406B0" w:rsidRPr="003E275B" w:rsidRDefault="002406B0" w:rsidP="00423AD9">
            <w:pPr>
              <w:jc w:val="right"/>
              <w:rPr>
                <w:rFonts w:ascii="Arial" w:hAnsi="Arial" w:cs="Arial"/>
                <w:b/>
                <w:sz w:val="20"/>
                <w:szCs w:val="20"/>
              </w:rPr>
            </w:pPr>
            <w:r w:rsidRPr="005F165E">
              <w:rPr>
                <w:rFonts w:ascii="Arial" w:eastAsia="Calibri" w:hAnsi="Arial" w:cs="Arial"/>
                <w:sz w:val="20"/>
                <w:szCs w:val="20"/>
              </w:rPr>
              <w:t>£17.45</w:t>
            </w:r>
          </w:p>
        </w:tc>
      </w:tr>
      <w:tr w:rsidR="002406B0" w:rsidRPr="003E275B" w14:paraId="3C68B90C"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7EF6E6AA" w14:textId="77777777" w:rsidR="002406B0" w:rsidRPr="00D11401" w:rsidRDefault="002406B0" w:rsidP="00423AD9">
            <w:pPr>
              <w:rPr>
                <w:rFonts w:ascii="Arial" w:eastAsia="Calibri" w:hAnsi="Arial" w:cs="Arial"/>
                <w:sz w:val="20"/>
                <w:szCs w:val="20"/>
              </w:rPr>
            </w:pPr>
            <w:r w:rsidRPr="00D11401">
              <w:rPr>
                <w:rFonts w:ascii="Arial" w:eastAsia="Calibri" w:hAnsi="Arial" w:cs="Arial"/>
                <w:sz w:val="20"/>
                <w:szCs w:val="20"/>
              </w:rPr>
              <w:t xml:space="preserve">Class 4 lower profits limit </w:t>
            </w:r>
          </w:p>
          <w:p w14:paraId="60FC1479" w14:textId="77777777" w:rsidR="002406B0" w:rsidRPr="00903221" w:rsidRDefault="002406B0" w:rsidP="00423AD9">
            <w:pPr>
              <w:rPr>
                <w:rFonts w:ascii="Arial" w:hAnsi="Arial" w:cs="Arial"/>
                <w:sz w:val="20"/>
                <w:szCs w:val="20"/>
              </w:rPr>
            </w:pPr>
          </w:p>
        </w:tc>
        <w:tc>
          <w:tcPr>
            <w:tcW w:w="2113" w:type="dxa"/>
            <w:tcBorders>
              <w:top w:val="single" w:sz="4" w:space="0" w:color="auto"/>
              <w:left w:val="single" w:sz="4" w:space="0" w:color="auto"/>
              <w:bottom w:val="single" w:sz="4" w:space="0" w:color="auto"/>
              <w:right w:val="single" w:sz="4" w:space="0" w:color="auto"/>
            </w:tcBorders>
            <w:noWrap/>
            <w:hideMark/>
          </w:tcPr>
          <w:p w14:paraId="41AA4497" w14:textId="77777777" w:rsidR="002406B0" w:rsidRPr="00423AD9" w:rsidRDefault="002406B0" w:rsidP="00423AD9">
            <w:pPr>
              <w:jc w:val="right"/>
              <w:rPr>
                <w:rFonts w:ascii="Arial" w:hAnsi="Arial" w:cs="Arial"/>
                <w:sz w:val="20"/>
                <w:szCs w:val="20"/>
              </w:rPr>
            </w:pPr>
            <w:r w:rsidRPr="00423AD9">
              <w:rPr>
                <w:rFonts w:ascii="Arial" w:eastAsia="Calibri" w:hAnsi="Arial" w:cs="Arial"/>
                <w:sz w:val="20"/>
                <w:szCs w:val="20"/>
              </w:rPr>
              <w:t>£12,570</w:t>
            </w:r>
          </w:p>
        </w:tc>
        <w:tc>
          <w:tcPr>
            <w:tcW w:w="1749" w:type="dxa"/>
            <w:tcBorders>
              <w:top w:val="single" w:sz="4" w:space="0" w:color="auto"/>
              <w:left w:val="single" w:sz="4" w:space="0" w:color="auto"/>
              <w:bottom w:val="single" w:sz="4" w:space="0" w:color="auto"/>
              <w:right w:val="single" w:sz="4" w:space="0" w:color="auto"/>
            </w:tcBorders>
            <w:noWrap/>
            <w:hideMark/>
          </w:tcPr>
          <w:p w14:paraId="3C163E81" w14:textId="77777777" w:rsidR="002406B0" w:rsidRPr="003E275B" w:rsidRDefault="002406B0" w:rsidP="00423AD9">
            <w:pPr>
              <w:jc w:val="right"/>
              <w:rPr>
                <w:rFonts w:ascii="Arial" w:hAnsi="Arial" w:cs="Arial"/>
                <w:sz w:val="20"/>
                <w:szCs w:val="20"/>
              </w:rPr>
            </w:pPr>
            <w:r w:rsidRPr="005F165E">
              <w:rPr>
                <w:rFonts w:ascii="Arial" w:eastAsia="Calibri" w:hAnsi="Arial" w:cs="Arial"/>
                <w:sz w:val="20"/>
                <w:szCs w:val="20"/>
              </w:rPr>
              <w:t>£12,570</w:t>
            </w:r>
          </w:p>
        </w:tc>
      </w:tr>
      <w:tr w:rsidR="002406B0" w:rsidRPr="003E275B" w14:paraId="63750D0D"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188FE790" w14:textId="77777777" w:rsidR="002406B0" w:rsidRPr="00506D8F" w:rsidRDefault="002406B0" w:rsidP="00423AD9">
            <w:pPr>
              <w:rPr>
                <w:rFonts w:ascii="Arial" w:hAnsi="Arial" w:cs="Arial"/>
                <w:sz w:val="20"/>
                <w:szCs w:val="20"/>
              </w:rPr>
            </w:pPr>
            <w:r w:rsidRPr="00D11401">
              <w:rPr>
                <w:rFonts w:ascii="Arial" w:eastAsia="Calibri" w:hAnsi="Arial" w:cs="Arial"/>
                <w:sz w:val="20"/>
                <w:szCs w:val="20"/>
              </w:rPr>
              <w:t>Class 4 upper profits limit</w:t>
            </w:r>
          </w:p>
        </w:tc>
        <w:tc>
          <w:tcPr>
            <w:tcW w:w="2113" w:type="dxa"/>
            <w:tcBorders>
              <w:top w:val="single" w:sz="4" w:space="0" w:color="auto"/>
              <w:left w:val="single" w:sz="4" w:space="0" w:color="auto"/>
              <w:bottom w:val="single" w:sz="4" w:space="0" w:color="auto"/>
              <w:right w:val="single" w:sz="4" w:space="0" w:color="auto"/>
            </w:tcBorders>
            <w:noWrap/>
            <w:hideMark/>
          </w:tcPr>
          <w:p w14:paraId="63B34FDC" w14:textId="77777777" w:rsidR="002406B0" w:rsidRPr="00423AD9" w:rsidRDefault="002406B0" w:rsidP="00423AD9">
            <w:pPr>
              <w:jc w:val="right"/>
              <w:rPr>
                <w:rFonts w:ascii="Arial" w:hAnsi="Arial" w:cs="Arial"/>
                <w:sz w:val="20"/>
                <w:szCs w:val="20"/>
              </w:rPr>
            </w:pPr>
            <w:r w:rsidRPr="00423AD9">
              <w:rPr>
                <w:rFonts w:ascii="Arial" w:eastAsia="Calibri" w:hAnsi="Arial" w:cs="Arial"/>
                <w:sz w:val="20"/>
                <w:szCs w:val="20"/>
              </w:rPr>
              <w:t>£50,270</w:t>
            </w:r>
          </w:p>
        </w:tc>
        <w:tc>
          <w:tcPr>
            <w:tcW w:w="1749" w:type="dxa"/>
            <w:tcBorders>
              <w:top w:val="single" w:sz="4" w:space="0" w:color="auto"/>
              <w:left w:val="single" w:sz="4" w:space="0" w:color="auto"/>
              <w:bottom w:val="single" w:sz="4" w:space="0" w:color="auto"/>
              <w:right w:val="single" w:sz="4" w:space="0" w:color="auto"/>
            </w:tcBorders>
            <w:noWrap/>
            <w:hideMark/>
          </w:tcPr>
          <w:p w14:paraId="710B8EE0" w14:textId="77777777" w:rsidR="002406B0" w:rsidRPr="003E275B" w:rsidRDefault="002406B0" w:rsidP="00423AD9">
            <w:pPr>
              <w:jc w:val="right"/>
              <w:rPr>
                <w:rFonts w:ascii="Arial" w:hAnsi="Arial" w:cs="Arial"/>
                <w:sz w:val="20"/>
                <w:szCs w:val="20"/>
              </w:rPr>
            </w:pPr>
            <w:r w:rsidRPr="005F165E">
              <w:rPr>
                <w:rFonts w:ascii="Arial" w:eastAsia="Calibri" w:hAnsi="Arial" w:cs="Arial"/>
                <w:sz w:val="20"/>
                <w:szCs w:val="20"/>
              </w:rPr>
              <w:t>£50,270</w:t>
            </w:r>
          </w:p>
        </w:tc>
      </w:tr>
      <w:tr w:rsidR="002406B0" w:rsidRPr="003E275B" w14:paraId="6B48AA1A"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1C82984C" w14:textId="77777777" w:rsidR="002406B0" w:rsidRPr="00506D8F" w:rsidRDefault="002406B0" w:rsidP="00423AD9">
            <w:pPr>
              <w:rPr>
                <w:rFonts w:ascii="Arial" w:hAnsi="Arial" w:cs="Arial"/>
                <w:sz w:val="20"/>
                <w:szCs w:val="20"/>
              </w:rPr>
            </w:pPr>
            <w:r w:rsidRPr="00D11401">
              <w:rPr>
                <w:rFonts w:ascii="Arial" w:eastAsia="Calibri" w:hAnsi="Arial" w:cs="Arial"/>
                <w:sz w:val="20"/>
                <w:szCs w:val="20"/>
              </w:rPr>
              <w:t xml:space="preserve">Class 4 rate between lower profits limit and upper profits limit </w:t>
            </w:r>
          </w:p>
        </w:tc>
        <w:tc>
          <w:tcPr>
            <w:tcW w:w="2113" w:type="dxa"/>
            <w:tcBorders>
              <w:top w:val="single" w:sz="4" w:space="0" w:color="auto"/>
              <w:left w:val="single" w:sz="4" w:space="0" w:color="auto"/>
              <w:bottom w:val="single" w:sz="4" w:space="0" w:color="auto"/>
              <w:right w:val="single" w:sz="4" w:space="0" w:color="auto"/>
            </w:tcBorders>
            <w:noWrap/>
            <w:hideMark/>
          </w:tcPr>
          <w:p w14:paraId="591956A7" w14:textId="77777777" w:rsidR="002406B0" w:rsidRPr="00423AD9" w:rsidRDefault="002406B0" w:rsidP="00423AD9">
            <w:pPr>
              <w:jc w:val="right"/>
              <w:rPr>
                <w:rFonts w:ascii="Arial" w:hAnsi="Arial" w:cs="Arial"/>
                <w:sz w:val="20"/>
                <w:szCs w:val="20"/>
              </w:rPr>
            </w:pPr>
            <w:r w:rsidRPr="00423AD9">
              <w:rPr>
                <w:rFonts w:ascii="Arial" w:eastAsia="Calibri" w:hAnsi="Arial" w:cs="Arial"/>
                <w:sz w:val="20"/>
                <w:szCs w:val="20"/>
              </w:rPr>
              <w:t>6%</w:t>
            </w:r>
          </w:p>
        </w:tc>
        <w:tc>
          <w:tcPr>
            <w:tcW w:w="1749" w:type="dxa"/>
            <w:tcBorders>
              <w:top w:val="single" w:sz="4" w:space="0" w:color="auto"/>
              <w:left w:val="single" w:sz="4" w:space="0" w:color="auto"/>
              <w:bottom w:val="single" w:sz="4" w:space="0" w:color="auto"/>
              <w:right w:val="single" w:sz="4" w:space="0" w:color="auto"/>
            </w:tcBorders>
            <w:noWrap/>
            <w:hideMark/>
          </w:tcPr>
          <w:p w14:paraId="3C1E239A" w14:textId="77777777" w:rsidR="002406B0" w:rsidRPr="003E275B" w:rsidRDefault="002406B0" w:rsidP="00423AD9">
            <w:pPr>
              <w:jc w:val="right"/>
              <w:rPr>
                <w:rFonts w:ascii="Arial" w:hAnsi="Arial" w:cs="Arial"/>
                <w:sz w:val="20"/>
                <w:szCs w:val="20"/>
              </w:rPr>
            </w:pPr>
            <w:r w:rsidRPr="005F165E">
              <w:rPr>
                <w:rFonts w:ascii="Arial" w:eastAsia="Calibri" w:hAnsi="Arial" w:cs="Arial"/>
                <w:sz w:val="20"/>
                <w:szCs w:val="20"/>
              </w:rPr>
              <w:t>9%</w:t>
            </w:r>
          </w:p>
        </w:tc>
      </w:tr>
      <w:tr w:rsidR="002406B0" w:rsidRPr="003E275B" w14:paraId="0B71DAE3"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5DB29B82" w14:textId="77777777" w:rsidR="002406B0" w:rsidRPr="00875631" w:rsidRDefault="002406B0" w:rsidP="00423AD9">
            <w:pPr>
              <w:rPr>
                <w:rFonts w:ascii="Arial" w:hAnsi="Arial" w:cs="Arial"/>
                <w:sz w:val="20"/>
                <w:szCs w:val="20"/>
              </w:rPr>
            </w:pPr>
            <w:r w:rsidRPr="00D11401">
              <w:rPr>
                <w:rFonts w:ascii="Arial" w:eastAsia="Calibri" w:hAnsi="Arial" w:cs="Arial"/>
                <w:sz w:val="20"/>
                <w:szCs w:val="20"/>
              </w:rPr>
              <w:t xml:space="preserve">Class 4 rate above upper profits limit </w:t>
            </w:r>
          </w:p>
        </w:tc>
        <w:tc>
          <w:tcPr>
            <w:tcW w:w="2113" w:type="dxa"/>
            <w:tcBorders>
              <w:top w:val="single" w:sz="4" w:space="0" w:color="auto"/>
              <w:left w:val="single" w:sz="4" w:space="0" w:color="auto"/>
              <w:bottom w:val="single" w:sz="4" w:space="0" w:color="auto"/>
              <w:right w:val="single" w:sz="4" w:space="0" w:color="auto"/>
            </w:tcBorders>
            <w:noWrap/>
            <w:hideMark/>
          </w:tcPr>
          <w:p w14:paraId="2804B201" w14:textId="77777777" w:rsidR="002406B0" w:rsidRPr="00423AD9" w:rsidRDefault="002406B0" w:rsidP="00423AD9">
            <w:pPr>
              <w:jc w:val="right"/>
              <w:rPr>
                <w:rFonts w:ascii="Arial" w:hAnsi="Arial" w:cs="Arial"/>
                <w:sz w:val="20"/>
                <w:szCs w:val="20"/>
              </w:rPr>
            </w:pPr>
            <w:r w:rsidRPr="00423AD9">
              <w:rPr>
                <w:rFonts w:ascii="Arial" w:eastAsia="Calibri" w:hAnsi="Arial" w:cs="Arial"/>
                <w:sz w:val="20"/>
                <w:szCs w:val="20"/>
              </w:rPr>
              <w:t>2%</w:t>
            </w:r>
          </w:p>
        </w:tc>
        <w:tc>
          <w:tcPr>
            <w:tcW w:w="1749" w:type="dxa"/>
            <w:tcBorders>
              <w:top w:val="single" w:sz="4" w:space="0" w:color="auto"/>
              <w:left w:val="single" w:sz="4" w:space="0" w:color="auto"/>
              <w:bottom w:val="single" w:sz="4" w:space="0" w:color="auto"/>
              <w:right w:val="single" w:sz="4" w:space="0" w:color="auto"/>
            </w:tcBorders>
            <w:noWrap/>
            <w:hideMark/>
          </w:tcPr>
          <w:p w14:paraId="572D99CB" w14:textId="77777777" w:rsidR="002406B0" w:rsidRPr="003E275B" w:rsidRDefault="002406B0" w:rsidP="00423AD9">
            <w:pPr>
              <w:jc w:val="right"/>
              <w:rPr>
                <w:rFonts w:ascii="Arial" w:hAnsi="Arial" w:cs="Arial"/>
                <w:sz w:val="20"/>
                <w:szCs w:val="20"/>
              </w:rPr>
            </w:pPr>
            <w:r w:rsidRPr="005F165E">
              <w:rPr>
                <w:rFonts w:ascii="Arial" w:eastAsia="Calibri" w:hAnsi="Arial" w:cs="Arial"/>
                <w:sz w:val="20"/>
                <w:szCs w:val="20"/>
              </w:rPr>
              <w:t>2%</w:t>
            </w:r>
          </w:p>
        </w:tc>
      </w:tr>
      <w:tr w:rsidR="002406B0" w:rsidRPr="003E275B" w14:paraId="0F7D7AA3" w14:textId="77777777" w:rsidTr="00B61337">
        <w:trPr>
          <w:trHeight w:val="330"/>
        </w:trPr>
        <w:tc>
          <w:tcPr>
            <w:tcW w:w="6526" w:type="dxa"/>
            <w:tcBorders>
              <w:top w:val="single" w:sz="4" w:space="0" w:color="auto"/>
              <w:left w:val="single" w:sz="4" w:space="0" w:color="auto"/>
              <w:bottom w:val="single" w:sz="4" w:space="0" w:color="auto"/>
              <w:right w:val="single" w:sz="4" w:space="0" w:color="auto"/>
            </w:tcBorders>
            <w:noWrap/>
            <w:hideMark/>
          </w:tcPr>
          <w:p w14:paraId="29E6FDA6" w14:textId="77777777" w:rsidR="002406B0" w:rsidRPr="00875631" w:rsidRDefault="002406B0" w:rsidP="00423AD9">
            <w:pPr>
              <w:rPr>
                <w:rFonts w:ascii="Arial" w:hAnsi="Arial" w:cs="Arial"/>
                <w:sz w:val="20"/>
                <w:szCs w:val="20"/>
              </w:rPr>
            </w:pPr>
            <w:r w:rsidRPr="00D11401">
              <w:rPr>
                <w:rFonts w:ascii="Arial" w:eastAsia="Calibri" w:hAnsi="Arial" w:cs="Arial"/>
                <w:sz w:val="20"/>
                <w:szCs w:val="20"/>
              </w:rPr>
              <w:t xml:space="preserve">Class 1A/1B NIC </w:t>
            </w:r>
          </w:p>
        </w:tc>
        <w:tc>
          <w:tcPr>
            <w:tcW w:w="2113" w:type="dxa"/>
            <w:tcBorders>
              <w:top w:val="single" w:sz="4" w:space="0" w:color="auto"/>
              <w:left w:val="single" w:sz="4" w:space="0" w:color="auto"/>
              <w:bottom w:val="single" w:sz="4" w:space="0" w:color="auto"/>
              <w:right w:val="single" w:sz="4" w:space="0" w:color="auto"/>
            </w:tcBorders>
            <w:noWrap/>
            <w:hideMark/>
          </w:tcPr>
          <w:p w14:paraId="1D9D9236" w14:textId="77777777" w:rsidR="002406B0" w:rsidRPr="00423AD9" w:rsidRDefault="002406B0" w:rsidP="00423AD9">
            <w:pPr>
              <w:jc w:val="right"/>
              <w:rPr>
                <w:rFonts w:ascii="Arial" w:hAnsi="Arial" w:cs="Arial"/>
                <w:sz w:val="20"/>
                <w:szCs w:val="20"/>
              </w:rPr>
            </w:pPr>
            <w:r w:rsidRPr="00423AD9">
              <w:rPr>
                <w:rFonts w:ascii="Arial" w:eastAsia="Calibri" w:hAnsi="Arial" w:cs="Arial"/>
                <w:sz w:val="20"/>
                <w:szCs w:val="20"/>
              </w:rPr>
              <w:t>13.8%</w:t>
            </w:r>
          </w:p>
        </w:tc>
        <w:tc>
          <w:tcPr>
            <w:tcW w:w="1749" w:type="dxa"/>
            <w:tcBorders>
              <w:top w:val="single" w:sz="4" w:space="0" w:color="auto"/>
              <w:left w:val="single" w:sz="4" w:space="0" w:color="auto"/>
              <w:bottom w:val="single" w:sz="4" w:space="0" w:color="auto"/>
              <w:right w:val="single" w:sz="4" w:space="0" w:color="auto"/>
            </w:tcBorders>
            <w:noWrap/>
            <w:hideMark/>
          </w:tcPr>
          <w:p w14:paraId="40FEF157" w14:textId="77777777" w:rsidR="002406B0" w:rsidRPr="003E275B" w:rsidRDefault="002406B0" w:rsidP="00423AD9">
            <w:pPr>
              <w:jc w:val="right"/>
              <w:rPr>
                <w:rFonts w:ascii="Arial" w:hAnsi="Arial" w:cs="Arial"/>
                <w:sz w:val="20"/>
                <w:szCs w:val="20"/>
              </w:rPr>
            </w:pPr>
            <w:r w:rsidRPr="005F165E">
              <w:rPr>
                <w:rFonts w:ascii="Arial" w:eastAsia="Calibri" w:hAnsi="Arial" w:cs="Arial"/>
                <w:sz w:val="20"/>
                <w:szCs w:val="20"/>
              </w:rPr>
              <w:t>13.8%</w:t>
            </w:r>
          </w:p>
        </w:tc>
      </w:tr>
    </w:tbl>
    <w:p w14:paraId="793303E7" w14:textId="23B4B04D" w:rsidR="007E4E94" w:rsidRPr="00A548BC" w:rsidRDefault="00A548BC" w:rsidP="0065704D">
      <w:pPr>
        <w:rPr>
          <w:rFonts w:ascii="Arial" w:hAnsi="Arial" w:cs="Arial"/>
          <w:b/>
          <w:bCs/>
          <w:sz w:val="28"/>
          <w:szCs w:val="28"/>
        </w:rPr>
      </w:pPr>
      <w:r w:rsidRPr="00A548BC">
        <w:rPr>
          <w:rFonts w:ascii="Arial" w:hAnsi="Arial" w:cs="Arial"/>
          <w:b/>
          <w:bCs/>
          <w:sz w:val="28"/>
          <w:szCs w:val="28"/>
        </w:rPr>
        <w:lastRenderedPageBreak/>
        <w:t>BUSINESSES</w:t>
      </w:r>
    </w:p>
    <w:p w14:paraId="2E182C50" w14:textId="77777777" w:rsidR="004F6E4A" w:rsidRDefault="004F6E4A" w:rsidP="0065704D">
      <w:pPr>
        <w:rPr>
          <w:rFonts w:ascii="Arial" w:hAnsi="Arial" w:cs="Arial"/>
          <w:sz w:val="22"/>
          <w:szCs w:val="22"/>
        </w:rPr>
      </w:pPr>
    </w:p>
    <w:p w14:paraId="29DF1B32" w14:textId="305B30EF" w:rsidR="00B70B0D" w:rsidRPr="00B70B0D" w:rsidRDefault="00B70B0D" w:rsidP="00B70B0D">
      <w:pPr>
        <w:rPr>
          <w:rFonts w:ascii="Arial" w:hAnsi="Arial" w:cs="Arial"/>
          <w:b/>
          <w:bCs/>
          <w:sz w:val="22"/>
          <w:szCs w:val="22"/>
        </w:rPr>
      </w:pPr>
      <w:r w:rsidRPr="00B70B0D">
        <w:rPr>
          <w:rFonts w:ascii="Arial" w:hAnsi="Arial" w:cs="Arial"/>
          <w:b/>
          <w:bCs/>
          <w:sz w:val="22"/>
          <w:szCs w:val="22"/>
        </w:rPr>
        <w:t>‘Full expensing’ deduction</w:t>
      </w:r>
      <w:r w:rsidR="006E5EC9">
        <w:rPr>
          <w:rFonts w:ascii="Arial" w:hAnsi="Arial" w:cs="Arial"/>
          <w:b/>
          <w:bCs/>
          <w:sz w:val="22"/>
          <w:szCs w:val="22"/>
        </w:rPr>
        <w:t xml:space="preserve"> for leased assets</w:t>
      </w:r>
    </w:p>
    <w:p w14:paraId="000286E3" w14:textId="3F85452B" w:rsidR="004F6E4A" w:rsidRPr="0010183E" w:rsidRDefault="0010183E" w:rsidP="00B70B0D">
      <w:pPr>
        <w:rPr>
          <w:rFonts w:ascii="Arial" w:hAnsi="Arial" w:cs="Arial"/>
          <w:sz w:val="22"/>
          <w:szCs w:val="22"/>
        </w:rPr>
      </w:pPr>
      <w:r w:rsidRPr="0010183E">
        <w:rPr>
          <w:rFonts w:ascii="Arial" w:hAnsi="Arial" w:cs="Arial"/>
          <w:sz w:val="22"/>
          <w:szCs w:val="22"/>
        </w:rPr>
        <w:t xml:space="preserve">The </w:t>
      </w:r>
      <w:r>
        <w:rPr>
          <w:rFonts w:ascii="Arial" w:hAnsi="Arial" w:cs="Arial"/>
          <w:sz w:val="22"/>
          <w:szCs w:val="22"/>
        </w:rPr>
        <w:t xml:space="preserve">chancellor announced </w:t>
      </w:r>
      <w:r w:rsidR="00D36BCE">
        <w:rPr>
          <w:rFonts w:ascii="Arial" w:hAnsi="Arial" w:cs="Arial"/>
          <w:sz w:val="22"/>
          <w:szCs w:val="22"/>
        </w:rPr>
        <w:t xml:space="preserve">an intention </w:t>
      </w:r>
      <w:r w:rsidRPr="0010183E">
        <w:rPr>
          <w:rFonts w:ascii="Arial" w:hAnsi="Arial" w:cs="Arial"/>
          <w:sz w:val="22"/>
          <w:szCs w:val="22"/>
        </w:rPr>
        <w:t>to include full expensing tax relief on leased assets</w:t>
      </w:r>
      <w:r w:rsidR="00D36BCE">
        <w:rPr>
          <w:rFonts w:ascii="Arial" w:hAnsi="Arial" w:cs="Arial"/>
          <w:sz w:val="22"/>
          <w:szCs w:val="22"/>
        </w:rPr>
        <w:t xml:space="preserve">. </w:t>
      </w:r>
      <w:r w:rsidRPr="0010183E">
        <w:rPr>
          <w:rFonts w:ascii="Arial" w:hAnsi="Arial" w:cs="Arial"/>
          <w:sz w:val="22"/>
          <w:szCs w:val="22"/>
        </w:rPr>
        <w:t xml:space="preserve">The relief will be </w:t>
      </w:r>
      <w:proofErr w:type="gramStart"/>
      <w:r w:rsidRPr="0010183E">
        <w:rPr>
          <w:rFonts w:ascii="Arial" w:hAnsi="Arial" w:cs="Arial"/>
          <w:sz w:val="22"/>
          <w:szCs w:val="22"/>
        </w:rPr>
        <w:t>enable</w:t>
      </w:r>
      <w:proofErr w:type="gramEnd"/>
      <w:r w:rsidRPr="0010183E">
        <w:rPr>
          <w:rFonts w:ascii="Arial" w:hAnsi="Arial" w:cs="Arial"/>
          <w:sz w:val="22"/>
          <w:szCs w:val="22"/>
        </w:rPr>
        <w:t xml:space="preserve"> businesses to be more efficient by leasing assets to nurture productivity by getting the newest, cleanest and most efficient plant and machinery into the hands of business owners. </w:t>
      </w:r>
      <w:r w:rsidR="008E5B4A">
        <w:rPr>
          <w:rFonts w:ascii="Arial" w:hAnsi="Arial" w:cs="Arial"/>
          <w:sz w:val="22"/>
          <w:szCs w:val="22"/>
        </w:rPr>
        <w:t xml:space="preserve">No </w:t>
      </w:r>
      <w:r w:rsidRPr="0010183E">
        <w:rPr>
          <w:rFonts w:ascii="Arial" w:hAnsi="Arial" w:cs="Arial"/>
          <w:sz w:val="22"/>
          <w:szCs w:val="22"/>
        </w:rPr>
        <w:t xml:space="preserve">timeline </w:t>
      </w:r>
      <w:r w:rsidR="008E5B4A">
        <w:rPr>
          <w:rFonts w:ascii="Arial" w:hAnsi="Arial" w:cs="Arial"/>
          <w:sz w:val="22"/>
          <w:szCs w:val="22"/>
        </w:rPr>
        <w:t xml:space="preserve">for the start of the relief has been announced </w:t>
      </w:r>
      <w:r w:rsidRPr="0010183E">
        <w:rPr>
          <w:rFonts w:ascii="Arial" w:hAnsi="Arial" w:cs="Arial"/>
          <w:sz w:val="22"/>
          <w:szCs w:val="22"/>
        </w:rPr>
        <w:t xml:space="preserve">and </w:t>
      </w:r>
      <w:r w:rsidR="008E5B4A">
        <w:rPr>
          <w:rFonts w:ascii="Arial" w:hAnsi="Arial" w:cs="Arial"/>
          <w:sz w:val="22"/>
          <w:szCs w:val="22"/>
        </w:rPr>
        <w:t xml:space="preserve">the relief is subject to </w:t>
      </w:r>
      <w:r w:rsidRPr="0010183E">
        <w:rPr>
          <w:rFonts w:ascii="Arial" w:hAnsi="Arial" w:cs="Arial"/>
          <w:sz w:val="22"/>
          <w:szCs w:val="22"/>
        </w:rPr>
        <w:t xml:space="preserve">draft legislation </w:t>
      </w:r>
      <w:r w:rsidR="008E5B4A">
        <w:rPr>
          <w:rFonts w:ascii="Arial" w:hAnsi="Arial" w:cs="Arial"/>
          <w:sz w:val="22"/>
          <w:szCs w:val="22"/>
        </w:rPr>
        <w:t>to b</w:t>
      </w:r>
      <w:r w:rsidRPr="0010183E">
        <w:rPr>
          <w:rFonts w:ascii="Arial" w:hAnsi="Arial" w:cs="Arial"/>
          <w:sz w:val="22"/>
          <w:szCs w:val="22"/>
        </w:rPr>
        <w:t>e published.</w:t>
      </w:r>
    </w:p>
    <w:p w14:paraId="6ED95E7F" w14:textId="77777777" w:rsidR="0010183E" w:rsidRDefault="0010183E" w:rsidP="00B70B0D">
      <w:pPr>
        <w:rPr>
          <w:rFonts w:ascii="Arial" w:hAnsi="Arial" w:cs="Arial"/>
          <w:sz w:val="22"/>
          <w:szCs w:val="22"/>
        </w:rPr>
      </w:pPr>
    </w:p>
    <w:p w14:paraId="22966A08" w14:textId="5D934BDF" w:rsidR="009A40C0" w:rsidRPr="004C774B" w:rsidRDefault="009A40C0" w:rsidP="009A40C0">
      <w:pPr>
        <w:rPr>
          <w:rFonts w:ascii="Arial" w:hAnsi="Arial" w:cs="Arial"/>
          <w:b/>
          <w:sz w:val="22"/>
          <w:szCs w:val="22"/>
        </w:rPr>
      </w:pPr>
      <w:r>
        <w:rPr>
          <w:rFonts w:ascii="Arial" w:hAnsi="Arial" w:cs="Arial"/>
          <w:b/>
          <w:sz w:val="22"/>
          <w:szCs w:val="22"/>
        </w:rPr>
        <w:t>UK Independent Film Tax Credit</w:t>
      </w:r>
    </w:p>
    <w:p w14:paraId="15837F8B" w14:textId="583C722E" w:rsidR="00CA7289" w:rsidRPr="00155A8B" w:rsidRDefault="00CA7289" w:rsidP="009A40C0">
      <w:pPr>
        <w:rPr>
          <w:rFonts w:ascii="Arial" w:hAnsi="Arial" w:cs="Arial"/>
          <w:sz w:val="22"/>
          <w:szCs w:val="22"/>
        </w:rPr>
      </w:pPr>
      <w:r w:rsidRPr="00155A8B">
        <w:rPr>
          <w:rFonts w:ascii="Arial" w:hAnsi="Arial" w:cs="Arial"/>
          <w:sz w:val="22"/>
          <w:szCs w:val="22"/>
        </w:rPr>
        <w:t xml:space="preserve">At Spring Budget 2024, the Chancellor announced the UK Independent Film Tax Credit (IFTC). Under IFTC, eligible films will be able to opt-in to claim enhanced Audio-Visual Expenditure Credit (AVEC), at a rate of 53%, on their qualifying expenditure. Qualifying productions must have started principal photography on or after 1 April 2024, and only expenditure incurred on or after 1 April 2024 can be claimed. </w:t>
      </w:r>
      <w:r w:rsidR="00155A8B" w:rsidRPr="00155A8B">
        <w:rPr>
          <w:rFonts w:ascii="Arial" w:hAnsi="Arial" w:cs="Arial"/>
          <w:sz w:val="22"/>
          <w:szCs w:val="22"/>
        </w:rPr>
        <w:t>Claims can be submitted to HMRC from 1 April 2025 onwards, in respect of expenditure incurred from 1 April 2024, provided a film began principal photography after 1 April 2024.</w:t>
      </w:r>
    </w:p>
    <w:p w14:paraId="1981A492" w14:textId="77777777" w:rsidR="009A40C0" w:rsidRPr="00155A8B" w:rsidRDefault="009A40C0" w:rsidP="005C69E7">
      <w:pPr>
        <w:rPr>
          <w:rFonts w:ascii="Arial" w:hAnsi="Arial" w:cs="Arial"/>
          <w:sz w:val="22"/>
          <w:szCs w:val="22"/>
        </w:rPr>
      </w:pPr>
    </w:p>
    <w:p w14:paraId="1887AE62" w14:textId="26C9745C" w:rsidR="005C69E7" w:rsidRPr="004C774B" w:rsidRDefault="005C69E7" w:rsidP="005C69E7">
      <w:pPr>
        <w:rPr>
          <w:rFonts w:ascii="Arial" w:hAnsi="Arial" w:cs="Arial"/>
          <w:b/>
          <w:sz w:val="22"/>
          <w:szCs w:val="22"/>
        </w:rPr>
      </w:pPr>
      <w:r w:rsidRPr="004C774B">
        <w:rPr>
          <w:rFonts w:ascii="Arial" w:hAnsi="Arial" w:cs="Arial"/>
          <w:b/>
          <w:sz w:val="22"/>
          <w:szCs w:val="22"/>
        </w:rPr>
        <w:t xml:space="preserve">Theatre Tax Relief </w:t>
      </w:r>
    </w:p>
    <w:p w14:paraId="08E268CA" w14:textId="77B6120C" w:rsidR="001E399C" w:rsidRDefault="00C306CD" w:rsidP="005C69E7">
      <w:pPr>
        <w:rPr>
          <w:rFonts w:ascii="Arial" w:hAnsi="Arial" w:cs="Arial"/>
          <w:sz w:val="22"/>
          <w:szCs w:val="22"/>
        </w:rPr>
      </w:pPr>
      <w:r w:rsidRPr="00C306CD">
        <w:rPr>
          <w:rFonts w:ascii="Arial" w:hAnsi="Arial" w:cs="Arial"/>
          <w:sz w:val="22"/>
          <w:szCs w:val="22"/>
        </w:rPr>
        <w:t>As announced at Spring Budget 2024, the government will introduce legislation in Spring Finance Bill 2024 for permanent 40%/45% (for non-touring/touring and orchestral productions respectively) headline rates of relief for Theatre Tax Relief, Orchestra Relief, and Museums and Galleries Exhibition Tax Relief. These rates will take effect from 1 April 2025.</w:t>
      </w:r>
    </w:p>
    <w:p w14:paraId="05D2EA5D" w14:textId="77777777" w:rsidR="00C306CD" w:rsidRPr="00C306CD" w:rsidRDefault="00C306CD" w:rsidP="005C69E7">
      <w:pPr>
        <w:rPr>
          <w:rFonts w:ascii="Arial" w:hAnsi="Arial" w:cs="Arial"/>
          <w:sz w:val="22"/>
          <w:szCs w:val="22"/>
        </w:rPr>
      </w:pPr>
    </w:p>
    <w:p w14:paraId="5EC0B0D7" w14:textId="77777777" w:rsidR="006A1F59" w:rsidRPr="001139A8" w:rsidRDefault="006A1F59" w:rsidP="006A1F59">
      <w:pPr>
        <w:textAlignment w:val="baseline"/>
        <w:rPr>
          <w:rFonts w:ascii="Arial" w:hAnsi="Arial" w:cs="Arial"/>
          <w:b/>
          <w:bCs/>
          <w:sz w:val="22"/>
          <w:szCs w:val="22"/>
          <w:lang w:eastAsia="en-GB"/>
        </w:rPr>
      </w:pPr>
      <w:r w:rsidRPr="001139A8">
        <w:rPr>
          <w:rFonts w:ascii="Arial" w:hAnsi="Arial" w:cs="Arial"/>
          <w:b/>
          <w:bCs/>
          <w:sz w:val="22"/>
          <w:szCs w:val="22"/>
          <w:lang w:eastAsia="en-GB"/>
        </w:rPr>
        <w:t>Recovery loan scheme</w:t>
      </w:r>
    </w:p>
    <w:p w14:paraId="7017BA19" w14:textId="7A3757DD" w:rsidR="005204C4" w:rsidRPr="00517B03" w:rsidRDefault="005204C4" w:rsidP="005204C4">
      <w:pPr>
        <w:rPr>
          <w:rFonts w:ascii="Arial" w:hAnsi="Arial" w:cs="Arial"/>
          <w:sz w:val="22"/>
          <w:szCs w:val="22"/>
        </w:rPr>
      </w:pPr>
      <w:r w:rsidRPr="00517B03">
        <w:rPr>
          <w:rFonts w:ascii="Arial" w:hAnsi="Arial" w:cs="Arial"/>
          <w:sz w:val="22"/>
          <w:szCs w:val="22"/>
        </w:rPr>
        <w:t xml:space="preserve">The third iteration of the </w:t>
      </w:r>
      <w:hyperlink r:id="rId11" w:history="1">
        <w:r w:rsidRPr="00517B03">
          <w:rPr>
            <w:rStyle w:val="Hyperlink"/>
            <w:rFonts w:ascii="Arial" w:hAnsi="Arial" w:cs="Arial"/>
            <w:sz w:val="22"/>
            <w:szCs w:val="22"/>
          </w:rPr>
          <w:t>Recovery Loan Scheme</w:t>
        </w:r>
      </w:hyperlink>
      <w:r w:rsidRPr="00517B03">
        <w:rPr>
          <w:rFonts w:ascii="Arial" w:hAnsi="Arial" w:cs="Arial"/>
          <w:sz w:val="22"/>
          <w:szCs w:val="22"/>
        </w:rPr>
        <w:t xml:space="preserve"> – which is due to end in June 2024 – will be extended and renamed as the Growth Guarantee Scheme. </w:t>
      </w:r>
      <w:r w:rsidR="00B41860" w:rsidRPr="00517B03">
        <w:rPr>
          <w:rFonts w:ascii="Arial" w:hAnsi="Arial" w:cs="Arial"/>
          <w:sz w:val="22"/>
          <w:szCs w:val="22"/>
        </w:rPr>
        <w:t>The terms of the scheme will remain unchanged, ensuring continuity and consistency for lenders and the business community and will provide a 70% guarantee to participating lenders on finance of up to £2m offered to smaller businesses.</w:t>
      </w:r>
    </w:p>
    <w:p w14:paraId="0EF8D50D" w14:textId="77777777" w:rsidR="00B41860" w:rsidRPr="00A9182E" w:rsidRDefault="00B41860" w:rsidP="005204C4">
      <w:pPr>
        <w:rPr>
          <w:rFonts w:ascii="Arial" w:hAnsi="Arial" w:cs="Arial"/>
        </w:rPr>
      </w:pPr>
    </w:p>
    <w:p w14:paraId="1778B39A" w14:textId="52B19C5C" w:rsidR="00DD25A5" w:rsidRDefault="00841552" w:rsidP="005C69E7">
      <w:pPr>
        <w:rPr>
          <w:rFonts w:ascii="Arial" w:hAnsi="Arial" w:cs="Arial"/>
          <w:b/>
          <w:sz w:val="22"/>
          <w:szCs w:val="22"/>
        </w:rPr>
      </w:pPr>
      <w:r w:rsidRPr="00841552">
        <w:rPr>
          <w:rFonts w:ascii="Arial" w:hAnsi="Arial" w:cs="Arial"/>
          <w:b/>
          <w:sz w:val="22"/>
          <w:szCs w:val="22"/>
        </w:rPr>
        <w:t>VAT Thresholds</w:t>
      </w:r>
    </w:p>
    <w:p w14:paraId="71D7468A" w14:textId="77777777" w:rsidR="00D24AAF" w:rsidRDefault="00D24AAF" w:rsidP="00D24AAF">
      <w:pPr>
        <w:rPr>
          <w:rFonts w:ascii="Arial" w:hAnsi="Arial" w:cs="Arial"/>
          <w:sz w:val="22"/>
          <w:szCs w:val="22"/>
        </w:rPr>
      </w:pPr>
      <w:r w:rsidRPr="00DD0799">
        <w:rPr>
          <w:rFonts w:ascii="Arial" w:hAnsi="Arial" w:cs="Arial"/>
          <w:sz w:val="22"/>
          <w:szCs w:val="22"/>
        </w:rPr>
        <w:t>From 1 April 2024 the taxable turnover threshold which determines whether a person must be registered for VAT will be increased from £85,000 to £90,000.</w:t>
      </w:r>
    </w:p>
    <w:p w14:paraId="6ABA0AF3" w14:textId="77777777" w:rsidR="00D24AAF" w:rsidRPr="00DD0799" w:rsidRDefault="00D24AAF" w:rsidP="00D24AAF">
      <w:pPr>
        <w:rPr>
          <w:rFonts w:ascii="Arial" w:hAnsi="Arial" w:cs="Arial"/>
          <w:sz w:val="22"/>
          <w:szCs w:val="22"/>
        </w:rPr>
      </w:pPr>
    </w:p>
    <w:p w14:paraId="7E42FEFD" w14:textId="77777777" w:rsidR="00D24AAF" w:rsidRDefault="00D24AAF" w:rsidP="00D24AAF">
      <w:pPr>
        <w:rPr>
          <w:rFonts w:ascii="Arial" w:hAnsi="Arial" w:cs="Arial"/>
          <w:sz w:val="22"/>
          <w:szCs w:val="22"/>
        </w:rPr>
      </w:pPr>
      <w:r w:rsidRPr="00DD0799">
        <w:rPr>
          <w:rFonts w:ascii="Arial" w:hAnsi="Arial" w:cs="Arial"/>
          <w:sz w:val="22"/>
          <w:szCs w:val="22"/>
        </w:rPr>
        <w:t>The taxable turnover threshold which determines whether a person may apply for deregistration will be increased from £83,000 to £88,000.</w:t>
      </w:r>
    </w:p>
    <w:p w14:paraId="3DC07DD9" w14:textId="77777777" w:rsidR="002F23E5" w:rsidRDefault="002F23E5" w:rsidP="00D24AAF">
      <w:pPr>
        <w:rPr>
          <w:rFonts w:ascii="Arial" w:hAnsi="Arial" w:cs="Arial"/>
          <w:sz w:val="22"/>
          <w:szCs w:val="22"/>
        </w:rPr>
      </w:pPr>
    </w:p>
    <w:p w14:paraId="11BBE643" w14:textId="63D2CCA5" w:rsidR="002F23E5" w:rsidRPr="00090584" w:rsidRDefault="00744DBF" w:rsidP="00D24AAF">
      <w:pPr>
        <w:rPr>
          <w:rFonts w:ascii="Arial" w:hAnsi="Arial" w:cs="Arial"/>
          <w:b/>
          <w:bCs/>
          <w:sz w:val="22"/>
          <w:szCs w:val="22"/>
        </w:rPr>
      </w:pPr>
      <w:r w:rsidRPr="00090584">
        <w:rPr>
          <w:rFonts w:ascii="Arial" w:hAnsi="Arial" w:cs="Arial"/>
          <w:b/>
          <w:bCs/>
          <w:sz w:val="22"/>
          <w:szCs w:val="22"/>
        </w:rPr>
        <w:t xml:space="preserve">Furnished Holiday Lettings </w:t>
      </w:r>
      <w:r w:rsidR="00826320">
        <w:rPr>
          <w:rFonts w:ascii="Arial" w:hAnsi="Arial" w:cs="Arial"/>
          <w:b/>
          <w:bCs/>
          <w:sz w:val="22"/>
          <w:szCs w:val="22"/>
        </w:rPr>
        <w:t xml:space="preserve">(FHL) </w:t>
      </w:r>
      <w:r w:rsidRPr="00090584">
        <w:rPr>
          <w:rFonts w:ascii="Arial" w:hAnsi="Arial" w:cs="Arial"/>
          <w:b/>
          <w:bCs/>
          <w:sz w:val="22"/>
          <w:szCs w:val="22"/>
        </w:rPr>
        <w:t xml:space="preserve">regime </w:t>
      </w:r>
      <w:proofErr w:type="gramStart"/>
      <w:r w:rsidRPr="00090584">
        <w:rPr>
          <w:rFonts w:ascii="Arial" w:hAnsi="Arial" w:cs="Arial"/>
          <w:b/>
          <w:bCs/>
          <w:sz w:val="22"/>
          <w:szCs w:val="22"/>
        </w:rPr>
        <w:t>abolished</w:t>
      </w:r>
      <w:proofErr w:type="gramEnd"/>
    </w:p>
    <w:p w14:paraId="26E90D1A" w14:textId="17E171E6" w:rsidR="00826320" w:rsidRDefault="00826320" w:rsidP="00826320">
      <w:pPr>
        <w:rPr>
          <w:rFonts w:ascii="Arial" w:hAnsi="Arial" w:cs="Arial"/>
          <w:sz w:val="22"/>
          <w:szCs w:val="22"/>
        </w:rPr>
      </w:pPr>
      <w:r w:rsidRPr="00826320">
        <w:rPr>
          <w:rFonts w:ascii="Arial" w:hAnsi="Arial" w:cs="Arial"/>
          <w:sz w:val="22"/>
          <w:szCs w:val="22"/>
        </w:rPr>
        <w:t>The government will abolish the F</w:t>
      </w:r>
      <w:r>
        <w:rPr>
          <w:rFonts w:ascii="Arial" w:hAnsi="Arial" w:cs="Arial"/>
          <w:sz w:val="22"/>
          <w:szCs w:val="22"/>
        </w:rPr>
        <w:t>HL</w:t>
      </w:r>
      <w:r w:rsidRPr="00826320">
        <w:rPr>
          <w:rFonts w:ascii="Arial" w:hAnsi="Arial" w:cs="Arial"/>
          <w:sz w:val="22"/>
          <w:szCs w:val="22"/>
        </w:rPr>
        <w:t xml:space="preserve"> tax regime, eliminating the tax advantage for landlords who let out short-term furnished holiday properties over those who let out residential properties to longer-term tenants. This will take effect from April 2025.</w:t>
      </w:r>
    </w:p>
    <w:p w14:paraId="6C0E8361" w14:textId="77777777" w:rsidR="001279D9" w:rsidRPr="00826320" w:rsidRDefault="001279D9" w:rsidP="00826320">
      <w:pPr>
        <w:rPr>
          <w:rFonts w:ascii="Arial" w:hAnsi="Arial" w:cs="Arial"/>
          <w:sz w:val="22"/>
          <w:szCs w:val="22"/>
        </w:rPr>
      </w:pPr>
    </w:p>
    <w:p w14:paraId="55A87776" w14:textId="03D322C4" w:rsidR="00826320" w:rsidRPr="00826320" w:rsidRDefault="00826320" w:rsidP="00826320">
      <w:pPr>
        <w:rPr>
          <w:rFonts w:ascii="Arial" w:hAnsi="Arial" w:cs="Arial"/>
          <w:sz w:val="22"/>
          <w:szCs w:val="22"/>
        </w:rPr>
      </w:pPr>
      <w:proofErr w:type="gramStart"/>
      <w:r w:rsidRPr="00826320">
        <w:rPr>
          <w:rFonts w:ascii="Arial" w:hAnsi="Arial" w:cs="Arial"/>
          <w:sz w:val="22"/>
          <w:szCs w:val="22"/>
        </w:rPr>
        <w:t>At the moment</w:t>
      </w:r>
      <w:proofErr w:type="gramEnd"/>
      <w:r w:rsidRPr="00826320">
        <w:rPr>
          <w:rFonts w:ascii="Arial" w:hAnsi="Arial" w:cs="Arial"/>
          <w:sz w:val="22"/>
          <w:szCs w:val="22"/>
        </w:rPr>
        <w:t>, landlords who use the furnished holiday lets regime can deduct the full cost of their mortgage interest payments from their rental income, are entitled to capital allowances on the furniture, pay lower capital gains tax (CGT) when they sell, are entitled to CGT rollover relief etc.</w:t>
      </w:r>
    </w:p>
    <w:p w14:paraId="6B3D33A2" w14:textId="77777777" w:rsidR="00D24AAF" w:rsidRDefault="00D24AAF" w:rsidP="00D24AAF">
      <w:pPr>
        <w:rPr>
          <w:rFonts w:ascii="Arial" w:hAnsi="Arial" w:cs="Arial"/>
          <w:sz w:val="22"/>
          <w:szCs w:val="22"/>
        </w:rPr>
      </w:pPr>
    </w:p>
    <w:p w14:paraId="12E3DEF2" w14:textId="77777777" w:rsidR="00006449" w:rsidRDefault="00006449" w:rsidP="00D24AAF">
      <w:pPr>
        <w:rPr>
          <w:rFonts w:ascii="Arial" w:hAnsi="Arial" w:cs="Arial"/>
          <w:sz w:val="22"/>
          <w:szCs w:val="22"/>
        </w:rPr>
      </w:pPr>
    </w:p>
    <w:p w14:paraId="70F7872A" w14:textId="77777777" w:rsidR="00006449" w:rsidRDefault="00006449" w:rsidP="00D24AAF">
      <w:pPr>
        <w:rPr>
          <w:rFonts w:ascii="Arial" w:hAnsi="Arial" w:cs="Arial"/>
          <w:sz w:val="22"/>
          <w:szCs w:val="22"/>
        </w:rPr>
      </w:pPr>
    </w:p>
    <w:p w14:paraId="74EB4534" w14:textId="77777777" w:rsidR="00006449" w:rsidRDefault="00006449" w:rsidP="00D24AAF">
      <w:pPr>
        <w:rPr>
          <w:rFonts w:ascii="Arial" w:hAnsi="Arial" w:cs="Arial"/>
          <w:sz w:val="22"/>
          <w:szCs w:val="22"/>
        </w:rPr>
      </w:pPr>
    </w:p>
    <w:p w14:paraId="02086F6E" w14:textId="77777777" w:rsidR="00006449" w:rsidRDefault="00006449" w:rsidP="00D24AAF">
      <w:pPr>
        <w:rPr>
          <w:rFonts w:ascii="Arial" w:hAnsi="Arial" w:cs="Arial"/>
          <w:sz w:val="22"/>
          <w:szCs w:val="22"/>
        </w:rPr>
      </w:pPr>
    </w:p>
    <w:p w14:paraId="6FD06280" w14:textId="77777777" w:rsidR="00006449" w:rsidRDefault="00006449" w:rsidP="00D24AAF">
      <w:pPr>
        <w:rPr>
          <w:rFonts w:ascii="Arial" w:hAnsi="Arial" w:cs="Arial"/>
          <w:sz w:val="22"/>
          <w:szCs w:val="22"/>
        </w:rPr>
      </w:pPr>
    </w:p>
    <w:p w14:paraId="7A1B6BD8" w14:textId="77777777" w:rsidR="00006449" w:rsidRPr="00DD0799" w:rsidRDefault="00006449" w:rsidP="00D24AAF">
      <w:pPr>
        <w:rPr>
          <w:rFonts w:ascii="Arial" w:hAnsi="Arial" w:cs="Arial"/>
          <w:sz w:val="22"/>
          <w:szCs w:val="22"/>
        </w:rPr>
      </w:pPr>
    </w:p>
    <w:p w14:paraId="360746CF" w14:textId="77777777" w:rsidR="00294BDE" w:rsidRDefault="00294BDE" w:rsidP="005C69E7">
      <w:pPr>
        <w:rPr>
          <w:rFonts w:ascii="Arial" w:hAnsi="Arial" w:cs="Arial"/>
          <w:b/>
          <w:sz w:val="28"/>
          <w:szCs w:val="28"/>
        </w:rPr>
      </w:pPr>
    </w:p>
    <w:p w14:paraId="6EF66704" w14:textId="47C04441" w:rsidR="00543C12" w:rsidRPr="00A548BC" w:rsidRDefault="00543C12" w:rsidP="005C69E7">
      <w:pPr>
        <w:rPr>
          <w:rFonts w:ascii="Arial" w:hAnsi="Arial" w:cs="Arial"/>
          <w:b/>
          <w:sz w:val="28"/>
          <w:szCs w:val="28"/>
        </w:rPr>
      </w:pPr>
      <w:r w:rsidRPr="00A548BC">
        <w:rPr>
          <w:rFonts w:ascii="Arial" w:hAnsi="Arial" w:cs="Arial"/>
          <w:b/>
          <w:sz w:val="28"/>
          <w:szCs w:val="28"/>
        </w:rPr>
        <w:lastRenderedPageBreak/>
        <w:t>INDIVIDUALS</w:t>
      </w:r>
    </w:p>
    <w:p w14:paraId="45FD1126" w14:textId="77777777" w:rsidR="005C69E7" w:rsidRPr="00CF20CF" w:rsidRDefault="005C69E7" w:rsidP="0065704D">
      <w:pPr>
        <w:rPr>
          <w:rFonts w:ascii="Arial" w:hAnsi="Arial" w:cs="Arial"/>
          <w:sz w:val="22"/>
          <w:szCs w:val="22"/>
        </w:rPr>
      </w:pPr>
    </w:p>
    <w:p w14:paraId="0FC4E9BF" w14:textId="08BE41FF" w:rsidR="00CA3F40" w:rsidRPr="003A0A26" w:rsidRDefault="00CA3F40" w:rsidP="00CA3F40">
      <w:pPr>
        <w:rPr>
          <w:rFonts w:ascii="Arial" w:eastAsiaTheme="minorHAnsi" w:hAnsi="Arial" w:cs="Arial"/>
          <w:b/>
          <w:bCs/>
          <w:sz w:val="22"/>
          <w:szCs w:val="22"/>
        </w:rPr>
      </w:pPr>
      <w:r w:rsidRPr="003A0A26">
        <w:rPr>
          <w:rFonts w:ascii="Arial" w:eastAsiaTheme="minorHAnsi" w:hAnsi="Arial" w:cs="Arial"/>
          <w:b/>
          <w:bCs/>
          <w:sz w:val="22"/>
          <w:szCs w:val="22"/>
        </w:rPr>
        <w:t xml:space="preserve">Income </w:t>
      </w:r>
      <w:r w:rsidR="009E564F" w:rsidRPr="003A0A26">
        <w:rPr>
          <w:rFonts w:ascii="Arial" w:eastAsiaTheme="minorHAnsi" w:hAnsi="Arial" w:cs="Arial"/>
          <w:b/>
          <w:bCs/>
          <w:sz w:val="22"/>
          <w:szCs w:val="22"/>
        </w:rPr>
        <w:t>t</w:t>
      </w:r>
      <w:r w:rsidRPr="003A0A26">
        <w:rPr>
          <w:rFonts w:ascii="Arial" w:eastAsiaTheme="minorHAnsi" w:hAnsi="Arial" w:cs="Arial"/>
          <w:b/>
          <w:bCs/>
          <w:sz w:val="22"/>
          <w:szCs w:val="22"/>
        </w:rPr>
        <w:t>ax</w:t>
      </w:r>
    </w:p>
    <w:p w14:paraId="5C8867D2" w14:textId="2A3A4BF0" w:rsidR="004C132D" w:rsidRPr="00621AFA" w:rsidRDefault="00A548BC" w:rsidP="004C132D">
      <w:pPr>
        <w:spacing w:after="210" w:line="288" w:lineRule="atLeast"/>
        <w:rPr>
          <w:rFonts w:ascii="Arial" w:hAnsi="Arial" w:cs="Arial"/>
          <w:color w:val="4C4C4C"/>
          <w:sz w:val="22"/>
          <w:szCs w:val="22"/>
          <w:u w:val="single"/>
          <w:lang w:eastAsia="en-GB"/>
        </w:rPr>
      </w:pPr>
      <w:r w:rsidRPr="00A548BC">
        <w:rPr>
          <w:rFonts w:ascii="Arial" w:hAnsi="Arial" w:cs="Arial"/>
          <w:sz w:val="22"/>
          <w:szCs w:val="22"/>
        </w:rPr>
        <w:t xml:space="preserve">As previously announced, </w:t>
      </w:r>
      <w:r w:rsidR="006D2DD0" w:rsidRPr="00A548BC">
        <w:rPr>
          <w:rFonts w:ascii="Arial" w:hAnsi="Arial" w:cs="Arial"/>
          <w:sz w:val="22"/>
          <w:szCs w:val="22"/>
        </w:rPr>
        <w:t xml:space="preserve">Personal tax thresholds </w:t>
      </w:r>
      <w:r w:rsidR="009E564F" w:rsidRPr="00A548BC">
        <w:rPr>
          <w:rFonts w:ascii="Arial" w:hAnsi="Arial" w:cs="Arial"/>
          <w:sz w:val="22"/>
          <w:szCs w:val="22"/>
        </w:rPr>
        <w:t xml:space="preserve">– </w:t>
      </w:r>
      <w:proofErr w:type="spellStart"/>
      <w:r w:rsidR="006D2DD0" w:rsidRPr="00A548BC">
        <w:rPr>
          <w:rFonts w:ascii="Arial" w:hAnsi="Arial" w:cs="Arial"/>
          <w:sz w:val="22"/>
          <w:szCs w:val="22"/>
        </w:rPr>
        <w:t>ie</w:t>
      </w:r>
      <w:proofErr w:type="spellEnd"/>
      <w:r w:rsidR="006D2DD0" w:rsidRPr="00A548BC">
        <w:rPr>
          <w:rFonts w:ascii="Arial" w:hAnsi="Arial" w:cs="Arial"/>
          <w:sz w:val="22"/>
          <w:szCs w:val="22"/>
        </w:rPr>
        <w:t xml:space="preserve"> personal allowance, basic and higher</w:t>
      </w:r>
      <w:r w:rsidR="00FB07CD" w:rsidRPr="00A548BC">
        <w:rPr>
          <w:rFonts w:ascii="Arial" w:hAnsi="Arial" w:cs="Arial"/>
          <w:sz w:val="22"/>
          <w:szCs w:val="22"/>
        </w:rPr>
        <w:t>-r</w:t>
      </w:r>
      <w:r w:rsidR="006D2DD0" w:rsidRPr="00A548BC">
        <w:rPr>
          <w:rFonts w:ascii="Arial" w:hAnsi="Arial" w:cs="Arial"/>
          <w:sz w:val="22"/>
          <w:szCs w:val="22"/>
        </w:rPr>
        <w:t xml:space="preserve">ate thresholds for income tax </w:t>
      </w:r>
      <w:r w:rsidR="00022CEE">
        <w:rPr>
          <w:rFonts w:ascii="Arial" w:hAnsi="Arial" w:cs="Arial"/>
          <w:sz w:val="22"/>
          <w:szCs w:val="22"/>
        </w:rPr>
        <w:t xml:space="preserve">remain </w:t>
      </w:r>
      <w:r w:rsidRPr="00A548BC">
        <w:rPr>
          <w:rFonts w:ascii="Arial" w:hAnsi="Arial" w:cs="Arial"/>
          <w:sz w:val="22"/>
          <w:szCs w:val="22"/>
        </w:rPr>
        <w:t xml:space="preserve">frozen </w:t>
      </w:r>
      <w:r w:rsidR="006D2DD0" w:rsidRPr="00A548BC">
        <w:rPr>
          <w:rFonts w:ascii="Arial" w:hAnsi="Arial" w:cs="Arial"/>
          <w:sz w:val="22"/>
          <w:szCs w:val="22"/>
        </w:rPr>
        <w:t xml:space="preserve">until April 2028 at </w:t>
      </w:r>
      <w:r w:rsidRPr="00A548BC">
        <w:rPr>
          <w:rFonts w:ascii="Arial" w:hAnsi="Arial" w:cs="Arial"/>
          <w:sz w:val="22"/>
          <w:szCs w:val="22"/>
        </w:rPr>
        <w:t>the</w:t>
      </w:r>
      <w:r w:rsidR="006D2DD0" w:rsidRPr="00A548BC">
        <w:rPr>
          <w:rFonts w:ascii="Arial" w:hAnsi="Arial" w:cs="Arial"/>
          <w:sz w:val="22"/>
          <w:szCs w:val="22"/>
        </w:rPr>
        <w:t xml:space="preserve"> current level of £12,570 and £50,270.</w:t>
      </w:r>
      <w:r w:rsidR="004C132D" w:rsidRPr="00A548BC">
        <w:rPr>
          <w:rFonts w:ascii="Arial" w:hAnsi="Arial" w:cs="Arial"/>
          <w:sz w:val="22"/>
          <w:szCs w:val="22"/>
        </w:rPr>
        <w:t xml:space="preserve"> The additional rate threshold </w:t>
      </w:r>
      <w:r w:rsidRPr="00A548BC">
        <w:rPr>
          <w:rFonts w:ascii="Arial" w:hAnsi="Arial" w:cs="Arial"/>
          <w:sz w:val="22"/>
          <w:szCs w:val="22"/>
        </w:rPr>
        <w:t xml:space="preserve">was </w:t>
      </w:r>
      <w:r w:rsidR="004C132D" w:rsidRPr="00A548BC">
        <w:rPr>
          <w:rFonts w:ascii="Arial" w:hAnsi="Arial" w:cs="Arial"/>
          <w:sz w:val="22"/>
          <w:szCs w:val="22"/>
        </w:rPr>
        <w:t>reduced from £150,000 to £125,140 from 6 April 2023.</w:t>
      </w:r>
      <w:r w:rsidR="004C132D" w:rsidRPr="00621AFA">
        <w:rPr>
          <w:rFonts w:ascii="Arial" w:hAnsi="Arial" w:cs="Arial"/>
          <w:sz w:val="22"/>
          <w:szCs w:val="22"/>
        </w:rPr>
        <w:t xml:space="preserve"> </w:t>
      </w:r>
    </w:p>
    <w:p w14:paraId="204F8CBB" w14:textId="2805F0CA" w:rsidR="00621AFA" w:rsidRPr="0071799D" w:rsidRDefault="00621AFA" w:rsidP="0071799D">
      <w:pPr>
        <w:rPr>
          <w:rFonts w:ascii="Arial" w:eastAsiaTheme="minorHAnsi" w:hAnsi="Arial" w:cs="Arial"/>
          <w:b/>
          <w:bCs/>
          <w:sz w:val="22"/>
          <w:szCs w:val="22"/>
        </w:rPr>
      </w:pPr>
      <w:r w:rsidRPr="0071799D">
        <w:rPr>
          <w:rFonts w:ascii="Arial" w:eastAsiaTheme="minorHAnsi" w:hAnsi="Arial" w:cs="Arial"/>
          <w:b/>
          <w:bCs/>
          <w:sz w:val="22"/>
          <w:szCs w:val="22"/>
        </w:rPr>
        <w:t xml:space="preserve">Personal allowance for higher rates </w:t>
      </w:r>
      <w:r w:rsidR="00975AB9">
        <w:rPr>
          <w:rFonts w:ascii="Arial" w:eastAsiaTheme="minorHAnsi" w:hAnsi="Arial" w:cs="Arial"/>
          <w:b/>
          <w:bCs/>
          <w:sz w:val="22"/>
          <w:szCs w:val="22"/>
        </w:rPr>
        <w:t xml:space="preserve">from </w:t>
      </w:r>
      <w:r w:rsidRPr="0071799D">
        <w:rPr>
          <w:rFonts w:ascii="Arial" w:eastAsiaTheme="minorHAnsi" w:hAnsi="Arial" w:cs="Arial"/>
          <w:b/>
          <w:bCs/>
          <w:sz w:val="22"/>
          <w:szCs w:val="22"/>
        </w:rPr>
        <w:t>2023/24</w:t>
      </w:r>
    </w:p>
    <w:p w14:paraId="769EAC90" w14:textId="77777777" w:rsidR="00A446C5" w:rsidRPr="00324D12" w:rsidRDefault="00E87DE3" w:rsidP="00A446C5">
      <w:pPr>
        <w:rPr>
          <w:rFonts w:ascii="Arial" w:hAnsi="Arial" w:cs="Arial"/>
          <w:sz w:val="22"/>
          <w:szCs w:val="22"/>
        </w:rPr>
      </w:pPr>
      <w:r w:rsidRPr="00862477">
        <w:rPr>
          <w:rFonts w:ascii="Arial" w:hAnsi="Arial" w:cs="Arial"/>
          <w:sz w:val="22"/>
          <w:szCs w:val="22"/>
          <w:lang w:eastAsia="en-GB"/>
        </w:rPr>
        <w:t>Where annual income exceeds £100,000</w:t>
      </w:r>
      <w:r w:rsidR="00A446C5" w:rsidRPr="00862477">
        <w:rPr>
          <w:rFonts w:ascii="Arial" w:hAnsi="Arial" w:cs="Arial"/>
          <w:sz w:val="22"/>
          <w:szCs w:val="22"/>
          <w:lang w:eastAsia="en-GB"/>
        </w:rPr>
        <w:t>,</w:t>
      </w:r>
      <w:r w:rsidRPr="00862477">
        <w:rPr>
          <w:rFonts w:ascii="Arial" w:hAnsi="Arial" w:cs="Arial"/>
          <w:sz w:val="22"/>
          <w:szCs w:val="22"/>
          <w:lang w:eastAsia="en-GB"/>
        </w:rPr>
        <w:t xml:space="preserve"> </w:t>
      </w:r>
      <w:r w:rsidRPr="00324D12">
        <w:rPr>
          <w:rFonts w:ascii="Arial" w:hAnsi="Arial" w:cs="Arial"/>
          <w:sz w:val="22"/>
          <w:szCs w:val="22"/>
          <w:lang w:eastAsia="en-GB"/>
        </w:rPr>
        <w:t xml:space="preserve">personal allowance </w:t>
      </w:r>
      <w:r w:rsidR="006879ED" w:rsidRPr="00324D12">
        <w:rPr>
          <w:rFonts w:ascii="Arial" w:hAnsi="Arial" w:cs="Arial"/>
          <w:sz w:val="22"/>
          <w:szCs w:val="22"/>
          <w:lang w:eastAsia="en-GB"/>
        </w:rPr>
        <w:t xml:space="preserve">is lost at a rate of £1 </w:t>
      </w:r>
      <w:r w:rsidRPr="00324D12">
        <w:rPr>
          <w:rFonts w:ascii="Arial" w:hAnsi="Arial" w:cs="Arial"/>
          <w:sz w:val="22"/>
          <w:szCs w:val="22"/>
          <w:lang w:eastAsia="en-GB"/>
        </w:rPr>
        <w:t>for every £2 of income above £100,000. </w:t>
      </w:r>
      <w:r w:rsidRPr="00324D12">
        <w:rPr>
          <w:rFonts w:ascii="Arial" w:hAnsi="Arial" w:cs="Arial"/>
          <w:sz w:val="22"/>
          <w:szCs w:val="22"/>
        </w:rPr>
        <w:t xml:space="preserve">This is the threshold where the entire personal allowance is lost. </w:t>
      </w:r>
    </w:p>
    <w:p w14:paraId="302038FB" w14:textId="77777777" w:rsidR="00A446C5" w:rsidRPr="00324D12" w:rsidRDefault="00A446C5" w:rsidP="00A446C5">
      <w:pPr>
        <w:rPr>
          <w:rFonts w:ascii="Arial" w:hAnsi="Arial" w:cs="Arial"/>
          <w:sz w:val="22"/>
          <w:szCs w:val="22"/>
        </w:rPr>
      </w:pPr>
    </w:p>
    <w:p w14:paraId="4A65D21F" w14:textId="3F884FF5" w:rsidR="00621AFA" w:rsidRDefault="00621AFA" w:rsidP="00A446C5">
      <w:pPr>
        <w:rPr>
          <w:rFonts w:ascii="Arial" w:hAnsi="Arial" w:cs="Arial"/>
          <w:sz w:val="22"/>
          <w:szCs w:val="22"/>
        </w:rPr>
      </w:pPr>
      <w:r w:rsidRPr="00324D12">
        <w:rPr>
          <w:rFonts w:ascii="Arial" w:hAnsi="Arial" w:cs="Arial"/>
          <w:sz w:val="22"/>
          <w:szCs w:val="22"/>
          <w:lang w:eastAsia="en-GB"/>
        </w:rPr>
        <w:t xml:space="preserve">The loss of the personal allowance means a person is taxed at 40% on the additional £2 of income, and they also pay an extra 40% on the £1 of personal allowance lost. </w:t>
      </w:r>
      <w:r w:rsidR="00324D12" w:rsidRPr="00324D12">
        <w:rPr>
          <w:rFonts w:ascii="Arial" w:hAnsi="Arial" w:cs="Arial"/>
          <w:sz w:val="22"/>
          <w:szCs w:val="22"/>
          <w:lang w:eastAsia="en-GB"/>
        </w:rPr>
        <w:t xml:space="preserve">This </w:t>
      </w:r>
      <w:r w:rsidRPr="00324D12">
        <w:rPr>
          <w:rFonts w:ascii="Arial" w:hAnsi="Arial" w:cs="Arial"/>
          <w:sz w:val="22"/>
          <w:szCs w:val="22"/>
          <w:lang w:eastAsia="en-GB"/>
        </w:rPr>
        <w:t xml:space="preserve">results in a marginal rate of 60%, which continues up to £125,140 (£100,000 + (£12,570 x 2)). At the £125,140 point the entire personal allowance </w:t>
      </w:r>
      <w:r w:rsidR="00BB55F2" w:rsidRPr="00324D12">
        <w:rPr>
          <w:rFonts w:ascii="Arial" w:hAnsi="Arial" w:cs="Arial"/>
          <w:sz w:val="22"/>
          <w:szCs w:val="22"/>
          <w:lang w:eastAsia="en-GB"/>
        </w:rPr>
        <w:t xml:space="preserve">is </w:t>
      </w:r>
      <w:r w:rsidRPr="00324D12">
        <w:rPr>
          <w:rFonts w:ascii="Arial" w:hAnsi="Arial" w:cs="Arial"/>
          <w:sz w:val="22"/>
          <w:szCs w:val="22"/>
          <w:lang w:eastAsia="en-GB"/>
        </w:rPr>
        <w:t>lost.</w:t>
      </w:r>
    </w:p>
    <w:p w14:paraId="5D61D2E6" w14:textId="77777777" w:rsidR="00740C51" w:rsidRDefault="00740C51" w:rsidP="007A2223">
      <w:pPr>
        <w:rPr>
          <w:rFonts w:ascii="Arial" w:hAnsi="Arial" w:cs="Arial"/>
          <w:b/>
          <w:bCs/>
          <w:sz w:val="22"/>
          <w:szCs w:val="22"/>
        </w:rPr>
      </w:pPr>
    </w:p>
    <w:p w14:paraId="5C77874D" w14:textId="3ADD786D" w:rsidR="009B5FF5" w:rsidRPr="00552B71" w:rsidRDefault="009B5FF5" w:rsidP="007A2223">
      <w:pPr>
        <w:rPr>
          <w:rFonts w:ascii="Arial" w:hAnsi="Arial" w:cs="Arial"/>
          <w:b/>
          <w:bCs/>
          <w:sz w:val="22"/>
          <w:szCs w:val="22"/>
        </w:rPr>
      </w:pPr>
      <w:r w:rsidRPr="00552B71">
        <w:rPr>
          <w:rFonts w:ascii="Arial" w:hAnsi="Arial" w:cs="Arial"/>
          <w:b/>
          <w:bCs/>
          <w:sz w:val="22"/>
          <w:szCs w:val="22"/>
        </w:rPr>
        <w:t xml:space="preserve">National </w:t>
      </w:r>
      <w:r w:rsidR="009E564F" w:rsidRPr="00552B71">
        <w:rPr>
          <w:rFonts w:ascii="Arial" w:hAnsi="Arial" w:cs="Arial"/>
          <w:b/>
          <w:bCs/>
          <w:sz w:val="22"/>
          <w:szCs w:val="22"/>
        </w:rPr>
        <w:t>i</w:t>
      </w:r>
      <w:r w:rsidRPr="00552B71">
        <w:rPr>
          <w:rFonts w:ascii="Arial" w:hAnsi="Arial" w:cs="Arial"/>
          <w:b/>
          <w:bCs/>
          <w:sz w:val="22"/>
          <w:szCs w:val="22"/>
        </w:rPr>
        <w:t>nsurance</w:t>
      </w:r>
    </w:p>
    <w:p w14:paraId="07D3CA39" w14:textId="77777777" w:rsidR="006A24CB" w:rsidRDefault="006A24CB" w:rsidP="006A24CB">
      <w:pPr>
        <w:rPr>
          <w:rFonts w:ascii="Arial" w:hAnsi="Arial" w:cs="Arial"/>
          <w:sz w:val="22"/>
          <w:szCs w:val="22"/>
        </w:rPr>
      </w:pPr>
      <w:r w:rsidRPr="006A24CB">
        <w:rPr>
          <w:rFonts w:ascii="Arial" w:hAnsi="Arial" w:cs="Arial"/>
          <w:sz w:val="22"/>
          <w:szCs w:val="22"/>
        </w:rPr>
        <w:t>The government will introduce legislation to reduce the main rate of primary Class 1 National Insurance contributions by 2 percentage points from 10% to 8% from 6 April 2024.</w:t>
      </w:r>
    </w:p>
    <w:p w14:paraId="6445F82B" w14:textId="77777777" w:rsidR="00862004" w:rsidRPr="006A24CB" w:rsidRDefault="00862004" w:rsidP="006A24CB">
      <w:pPr>
        <w:rPr>
          <w:rFonts w:ascii="Arial" w:hAnsi="Arial" w:cs="Arial"/>
          <w:sz w:val="22"/>
          <w:szCs w:val="22"/>
        </w:rPr>
      </w:pPr>
    </w:p>
    <w:p w14:paraId="63019E02" w14:textId="77777777" w:rsidR="006A24CB" w:rsidRPr="006A24CB" w:rsidRDefault="006A24CB" w:rsidP="006A24CB">
      <w:pPr>
        <w:rPr>
          <w:rFonts w:ascii="Arial" w:hAnsi="Arial" w:cs="Arial"/>
          <w:sz w:val="22"/>
          <w:szCs w:val="22"/>
        </w:rPr>
      </w:pPr>
      <w:r w:rsidRPr="006A24CB">
        <w:rPr>
          <w:rFonts w:ascii="Arial" w:hAnsi="Arial" w:cs="Arial"/>
          <w:sz w:val="22"/>
          <w:szCs w:val="22"/>
        </w:rPr>
        <w:t>For the self-employed, the government will introduce legislation to reduce the main rate of Class 4 National Insurance contributions by 2 percentage points from 8% to 6% from 6 April 2024.</w:t>
      </w:r>
    </w:p>
    <w:p w14:paraId="3E57FD58" w14:textId="77777777" w:rsidR="00862004" w:rsidRDefault="00862004" w:rsidP="006A24CB">
      <w:pPr>
        <w:rPr>
          <w:rFonts w:ascii="Arial" w:hAnsi="Arial" w:cs="Arial"/>
          <w:sz w:val="22"/>
          <w:szCs w:val="22"/>
        </w:rPr>
      </w:pPr>
    </w:p>
    <w:p w14:paraId="5017A07F" w14:textId="6B4E852D" w:rsidR="006A24CB" w:rsidRPr="006A24CB" w:rsidRDefault="006A24CB" w:rsidP="006A24CB">
      <w:pPr>
        <w:rPr>
          <w:rFonts w:ascii="Arial" w:hAnsi="Arial" w:cs="Arial"/>
          <w:sz w:val="22"/>
          <w:szCs w:val="22"/>
        </w:rPr>
      </w:pPr>
      <w:r w:rsidRPr="006A24CB">
        <w:rPr>
          <w:rFonts w:ascii="Arial" w:hAnsi="Arial" w:cs="Arial"/>
          <w:sz w:val="22"/>
          <w:szCs w:val="22"/>
        </w:rPr>
        <w:t xml:space="preserve">This is in addition to the previously announced reduction in the main rate of Class 4 National Insurance contributions from 9% to </w:t>
      </w:r>
      <w:proofErr w:type="gramStart"/>
      <w:r w:rsidRPr="006A24CB">
        <w:rPr>
          <w:rFonts w:ascii="Arial" w:hAnsi="Arial" w:cs="Arial"/>
          <w:sz w:val="22"/>
          <w:szCs w:val="22"/>
        </w:rPr>
        <w:t>8%, and</w:t>
      </w:r>
      <w:proofErr w:type="gramEnd"/>
      <w:r w:rsidRPr="006A24CB">
        <w:rPr>
          <w:rFonts w:ascii="Arial" w:hAnsi="Arial" w:cs="Arial"/>
          <w:sz w:val="22"/>
          <w:szCs w:val="22"/>
        </w:rPr>
        <w:t xml:space="preserve"> means that from 6 April 2024 the main rate will reduce from 9% to 6%.</w:t>
      </w:r>
    </w:p>
    <w:p w14:paraId="3965EFD4" w14:textId="77777777" w:rsidR="00D517A8" w:rsidRDefault="00D517A8" w:rsidP="003D255E">
      <w:pPr>
        <w:rPr>
          <w:rFonts w:ascii="Arial" w:hAnsi="Arial" w:cs="Arial"/>
          <w:sz w:val="22"/>
          <w:szCs w:val="22"/>
        </w:rPr>
      </w:pPr>
    </w:p>
    <w:p w14:paraId="08F9D59A" w14:textId="6F0F6D1E" w:rsidR="00D64D0C" w:rsidRPr="006F5AF3" w:rsidRDefault="00D64D0C" w:rsidP="00D64D0C">
      <w:pPr>
        <w:rPr>
          <w:rFonts w:ascii="Arial" w:hAnsi="Arial" w:cs="Arial"/>
          <w:b/>
          <w:bCs/>
          <w:sz w:val="22"/>
          <w:szCs w:val="22"/>
        </w:rPr>
      </w:pPr>
      <w:r w:rsidRPr="006F5AF3">
        <w:rPr>
          <w:rFonts w:ascii="Arial" w:hAnsi="Arial" w:cs="Arial"/>
          <w:b/>
          <w:bCs/>
          <w:sz w:val="22"/>
          <w:szCs w:val="22"/>
        </w:rPr>
        <w:t>Capital gains tax: reduce</w:t>
      </w:r>
      <w:r>
        <w:rPr>
          <w:rFonts w:ascii="Arial" w:hAnsi="Arial" w:cs="Arial"/>
          <w:b/>
          <w:bCs/>
          <w:sz w:val="22"/>
          <w:szCs w:val="22"/>
        </w:rPr>
        <w:t>d</w:t>
      </w:r>
      <w:r w:rsidRPr="006F5AF3">
        <w:rPr>
          <w:rFonts w:ascii="Arial" w:hAnsi="Arial" w:cs="Arial"/>
          <w:b/>
          <w:bCs/>
          <w:sz w:val="22"/>
          <w:szCs w:val="22"/>
        </w:rPr>
        <w:t xml:space="preserve"> annual </w:t>
      </w:r>
      <w:proofErr w:type="gramStart"/>
      <w:r w:rsidRPr="006F5AF3">
        <w:rPr>
          <w:rFonts w:ascii="Arial" w:hAnsi="Arial" w:cs="Arial"/>
          <w:b/>
          <w:bCs/>
          <w:sz w:val="22"/>
          <w:szCs w:val="22"/>
        </w:rPr>
        <w:t>exempt</w:t>
      </w:r>
      <w:r>
        <w:rPr>
          <w:rFonts w:ascii="Arial" w:hAnsi="Arial" w:cs="Arial"/>
          <w:b/>
          <w:bCs/>
          <w:sz w:val="22"/>
          <w:szCs w:val="22"/>
        </w:rPr>
        <w:t>ion</w:t>
      </w:r>
      <w:proofErr w:type="gramEnd"/>
      <w:r w:rsidRPr="006F5AF3">
        <w:rPr>
          <w:rFonts w:ascii="Arial" w:hAnsi="Arial" w:cs="Arial"/>
          <w:b/>
          <w:bCs/>
          <w:sz w:val="22"/>
          <w:szCs w:val="22"/>
        </w:rPr>
        <w:t xml:space="preserve"> </w:t>
      </w:r>
    </w:p>
    <w:p w14:paraId="73842FFC" w14:textId="59D1113B" w:rsidR="00D64D0C" w:rsidRDefault="00D64D0C" w:rsidP="00D64D0C">
      <w:pPr>
        <w:rPr>
          <w:rFonts w:ascii="Arial" w:hAnsi="Arial" w:cs="Arial"/>
          <w:sz w:val="22"/>
          <w:szCs w:val="22"/>
        </w:rPr>
      </w:pPr>
      <w:r w:rsidRPr="0054554E">
        <w:rPr>
          <w:rFonts w:ascii="Arial" w:hAnsi="Arial" w:cs="Arial"/>
          <w:sz w:val="22"/>
          <w:szCs w:val="22"/>
        </w:rPr>
        <w:t xml:space="preserve">As previously announced, the annual exemption amount for capital gains tax for individuals </w:t>
      </w:r>
      <w:r w:rsidR="00862004">
        <w:rPr>
          <w:rFonts w:ascii="Arial" w:hAnsi="Arial" w:cs="Arial"/>
          <w:sz w:val="22"/>
          <w:szCs w:val="22"/>
        </w:rPr>
        <w:t xml:space="preserve">will </w:t>
      </w:r>
      <w:r w:rsidR="00BB2231">
        <w:rPr>
          <w:rFonts w:ascii="Arial" w:hAnsi="Arial" w:cs="Arial"/>
          <w:sz w:val="22"/>
          <w:szCs w:val="22"/>
        </w:rPr>
        <w:t xml:space="preserve">reduce </w:t>
      </w:r>
      <w:r w:rsidRPr="0054554E">
        <w:rPr>
          <w:rFonts w:ascii="Arial" w:hAnsi="Arial" w:cs="Arial"/>
          <w:sz w:val="22"/>
          <w:szCs w:val="22"/>
        </w:rPr>
        <w:t>from £</w:t>
      </w:r>
      <w:r w:rsidR="00862004">
        <w:rPr>
          <w:rFonts w:ascii="Arial" w:hAnsi="Arial" w:cs="Arial"/>
          <w:sz w:val="22"/>
          <w:szCs w:val="22"/>
        </w:rPr>
        <w:t>6</w:t>
      </w:r>
      <w:r w:rsidRPr="0054554E">
        <w:rPr>
          <w:rFonts w:ascii="Arial" w:hAnsi="Arial" w:cs="Arial"/>
          <w:sz w:val="22"/>
          <w:szCs w:val="22"/>
        </w:rPr>
        <w:t>,</w:t>
      </w:r>
      <w:r w:rsidR="00862004">
        <w:rPr>
          <w:rFonts w:ascii="Arial" w:hAnsi="Arial" w:cs="Arial"/>
          <w:sz w:val="22"/>
          <w:szCs w:val="22"/>
        </w:rPr>
        <w:t>0</w:t>
      </w:r>
      <w:r w:rsidRPr="0054554E">
        <w:rPr>
          <w:rFonts w:ascii="Arial" w:hAnsi="Arial" w:cs="Arial"/>
          <w:sz w:val="22"/>
          <w:szCs w:val="22"/>
        </w:rPr>
        <w:t>00 to £</w:t>
      </w:r>
      <w:r w:rsidR="00862004">
        <w:rPr>
          <w:rFonts w:ascii="Arial" w:hAnsi="Arial" w:cs="Arial"/>
          <w:sz w:val="22"/>
          <w:szCs w:val="22"/>
        </w:rPr>
        <w:t>3</w:t>
      </w:r>
      <w:r w:rsidRPr="0054554E">
        <w:rPr>
          <w:rFonts w:ascii="Arial" w:hAnsi="Arial" w:cs="Arial"/>
          <w:sz w:val="22"/>
          <w:szCs w:val="22"/>
        </w:rPr>
        <w:t>,000 from April 202</w:t>
      </w:r>
      <w:r w:rsidR="00862004">
        <w:rPr>
          <w:rFonts w:ascii="Arial" w:hAnsi="Arial" w:cs="Arial"/>
          <w:sz w:val="22"/>
          <w:szCs w:val="22"/>
        </w:rPr>
        <w:t>4</w:t>
      </w:r>
      <w:r w:rsidR="00BB2231">
        <w:rPr>
          <w:rFonts w:ascii="Arial" w:hAnsi="Arial" w:cs="Arial"/>
          <w:sz w:val="22"/>
          <w:szCs w:val="22"/>
        </w:rPr>
        <w:t xml:space="preserve">. </w:t>
      </w:r>
    </w:p>
    <w:p w14:paraId="39DD7EFD" w14:textId="77777777" w:rsidR="0061065D" w:rsidRDefault="0061065D" w:rsidP="00D64D0C">
      <w:pPr>
        <w:rPr>
          <w:rFonts w:ascii="Arial" w:hAnsi="Arial" w:cs="Arial"/>
          <w:sz w:val="22"/>
          <w:szCs w:val="22"/>
        </w:rPr>
      </w:pPr>
    </w:p>
    <w:p w14:paraId="7A49D5A3" w14:textId="28AA0BFD" w:rsidR="0061065D" w:rsidRDefault="0061065D" w:rsidP="00D64D0C">
      <w:pPr>
        <w:rPr>
          <w:rFonts w:ascii="Arial" w:hAnsi="Arial" w:cs="Arial"/>
          <w:sz w:val="22"/>
          <w:szCs w:val="22"/>
        </w:rPr>
      </w:pPr>
      <w:r>
        <w:rPr>
          <w:rFonts w:ascii="Arial" w:hAnsi="Arial" w:cs="Arial"/>
          <w:sz w:val="22"/>
          <w:szCs w:val="22"/>
        </w:rPr>
        <w:t>The CGT rate for higher rate taxpayers on gains on disposals of residential properties will be r</w:t>
      </w:r>
      <w:r w:rsidR="004F4C6F">
        <w:rPr>
          <w:rFonts w:ascii="Arial" w:hAnsi="Arial" w:cs="Arial"/>
          <w:sz w:val="22"/>
          <w:szCs w:val="22"/>
        </w:rPr>
        <w:t>e</w:t>
      </w:r>
      <w:r>
        <w:rPr>
          <w:rFonts w:ascii="Arial" w:hAnsi="Arial" w:cs="Arial"/>
          <w:sz w:val="22"/>
          <w:szCs w:val="22"/>
        </w:rPr>
        <w:t xml:space="preserve">duced to </w:t>
      </w:r>
      <w:r w:rsidR="004F4C6F">
        <w:rPr>
          <w:rFonts w:ascii="Arial" w:hAnsi="Arial" w:cs="Arial"/>
          <w:sz w:val="22"/>
          <w:szCs w:val="22"/>
        </w:rPr>
        <w:t>24% from April 2024.</w:t>
      </w:r>
    </w:p>
    <w:p w14:paraId="6297F99D" w14:textId="77777777" w:rsidR="00C02878" w:rsidRDefault="00C02878" w:rsidP="00D64D0C">
      <w:pPr>
        <w:rPr>
          <w:rFonts w:ascii="Arial" w:hAnsi="Arial" w:cs="Arial"/>
          <w:sz w:val="22"/>
          <w:szCs w:val="22"/>
        </w:rPr>
      </w:pPr>
    </w:p>
    <w:p w14:paraId="1A8E301F" w14:textId="7BF9BF00" w:rsidR="00850365" w:rsidRPr="00850365" w:rsidRDefault="00850365" w:rsidP="00850365">
      <w:pPr>
        <w:rPr>
          <w:rFonts w:ascii="Arial" w:hAnsi="Arial" w:cs="Arial"/>
          <w:b/>
          <w:bCs/>
          <w:sz w:val="22"/>
          <w:szCs w:val="22"/>
        </w:rPr>
      </w:pPr>
      <w:r w:rsidRPr="00850365">
        <w:rPr>
          <w:rFonts w:ascii="Arial" w:hAnsi="Arial" w:cs="Arial"/>
          <w:b/>
          <w:bCs/>
          <w:sz w:val="22"/>
          <w:szCs w:val="22"/>
        </w:rPr>
        <w:t>Non-</w:t>
      </w:r>
      <w:proofErr w:type="spellStart"/>
      <w:r w:rsidRPr="00850365">
        <w:rPr>
          <w:rFonts w:ascii="Arial" w:hAnsi="Arial" w:cs="Arial"/>
          <w:b/>
          <w:bCs/>
          <w:sz w:val="22"/>
          <w:szCs w:val="22"/>
        </w:rPr>
        <w:t>dom</w:t>
      </w:r>
      <w:proofErr w:type="spellEnd"/>
      <w:r w:rsidRPr="00850365">
        <w:rPr>
          <w:rFonts w:ascii="Arial" w:hAnsi="Arial" w:cs="Arial"/>
          <w:b/>
          <w:bCs/>
          <w:sz w:val="22"/>
          <w:szCs w:val="22"/>
        </w:rPr>
        <w:t xml:space="preserve"> status to be </w:t>
      </w:r>
      <w:r w:rsidR="00862477">
        <w:rPr>
          <w:rFonts w:ascii="Arial" w:hAnsi="Arial" w:cs="Arial"/>
          <w:b/>
          <w:bCs/>
          <w:sz w:val="22"/>
          <w:szCs w:val="22"/>
        </w:rPr>
        <w:t xml:space="preserve">replaced by new residence based </w:t>
      </w:r>
      <w:proofErr w:type="gramStart"/>
      <w:r w:rsidR="00862477">
        <w:rPr>
          <w:rFonts w:ascii="Arial" w:hAnsi="Arial" w:cs="Arial"/>
          <w:b/>
          <w:bCs/>
          <w:sz w:val="22"/>
          <w:szCs w:val="22"/>
        </w:rPr>
        <w:t>system</w:t>
      </w:r>
      <w:proofErr w:type="gramEnd"/>
    </w:p>
    <w:p w14:paraId="18A0ACD6" w14:textId="77777777" w:rsidR="00A936EE" w:rsidRPr="00BA1646" w:rsidRDefault="00604CE7" w:rsidP="00A936EE">
      <w:pPr>
        <w:rPr>
          <w:rFonts w:ascii="Arial" w:hAnsi="Arial" w:cs="Arial"/>
          <w:sz w:val="22"/>
          <w:szCs w:val="22"/>
        </w:rPr>
      </w:pPr>
      <w:r w:rsidRPr="00BA1646">
        <w:rPr>
          <w:rFonts w:ascii="Arial" w:hAnsi="Arial" w:cs="Arial"/>
          <w:sz w:val="22"/>
          <w:szCs w:val="22"/>
        </w:rPr>
        <w:t>The government will abolish the remittance basis of taxation for non-UK domiciled individuals and replace it with a simpler residence-based regime, which will take effect from 6 April 2025.</w:t>
      </w:r>
      <w:r w:rsidR="00A936EE">
        <w:rPr>
          <w:rFonts w:ascii="Arial" w:hAnsi="Arial" w:cs="Arial"/>
          <w:sz w:val="22"/>
          <w:szCs w:val="22"/>
        </w:rPr>
        <w:t xml:space="preserve"> </w:t>
      </w:r>
      <w:r w:rsidR="00A936EE" w:rsidRPr="00BA1646">
        <w:rPr>
          <w:rFonts w:ascii="Arial" w:hAnsi="Arial" w:cs="Arial"/>
          <w:sz w:val="22"/>
          <w:szCs w:val="22"/>
        </w:rPr>
        <w:t>The government has also announced an intention to move to a residence-based regime for inheritance tax, with plans to publish a policy consultation on these changes, followed by draft legislation for a technical legislation, later in the year.</w:t>
      </w:r>
    </w:p>
    <w:p w14:paraId="76DBC4A5" w14:textId="77777777" w:rsidR="00DF31C0" w:rsidRDefault="00DF31C0" w:rsidP="003D255E">
      <w:pPr>
        <w:rPr>
          <w:rFonts w:ascii="Arial" w:hAnsi="Arial" w:cs="Arial"/>
          <w:sz w:val="22"/>
          <w:szCs w:val="22"/>
        </w:rPr>
      </w:pPr>
    </w:p>
    <w:p w14:paraId="243ECEF1" w14:textId="77777777" w:rsidR="007C2D93" w:rsidRPr="007C2D93" w:rsidRDefault="007C2D93" w:rsidP="007C2D93">
      <w:pPr>
        <w:rPr>
          <w:rFonts w:ascii="Arial" w:hAnsi="Arial" w:cs="Arial"/>
          <w:b/>
          <w:bCs/>
          <w:sz w:val="22"/>
          <w:szCs w:val="22"/>
        </w:rPr>
      </w:pPr>
      <w:r w:rsidRPr="007C2D93">
        <w:rPr>
          <w:rFonts w:ascii="Arial" w:hAnsi="Arial" w:cs="Arial"/>
          <w:b/>
          <w:bCs/>
          <w:sz w:val="22"/>
          <w:szCs w:val="22"/>
        </w:rPr>
        <w:t xml:space="preserve">High Income Child Benefit Charge threshold </w:t>
      </w:r>
    </w:p>
    <w:p w14:paraId="687E2A1A" w14:textId="77777777" w:rsidR="00853C8C" w:rsidRPr="00BD3A47" w:rsidRDefault="005C689F" w:rsidP="00853C8C">
      <w:pPr>
        <w:rPr>
          <w:rFonts w:ascii="Arial" w:hAnsi="Arial" w:cs="Arial"/>
          <w:sz w:val="22"/>
          <w:szCs w:val="22"/>
        </w:rPr>
      </w:pPr>
      <w:r w:rsidRPr="00BD3A47">
        <w:rPr>
          <w:rFonts w:ascii="Arial" w:hAnsi="Arial" w:cs="Arial"/>
          <w:sz w:val="22"/>
          <w:szCs w:val="22"/>
        </w:rPr>
        <w:t xml:space="preserve">The government will introduce legislation in the Spring Finance Bill 2024 to increase the </w:t>
      </w:r>
      <w:proofErr w:type="gramStart"/>
      <w:r w:rsidRPr="00BD3A47">
        <w:rPr>
          <w:rFonts w:ascii="Arial" w:hAnsi="Arial" w:cs="Arial"/>
          <w:sz w:val="22"/>
          <w:szCs w:val="22"/>
        </w:rPr>
        <w:t>High Income</w:t>
      </w:r>
      <w:proofErr w:type="gramEnd"/>
      <w:r w:rsidRPr="00BD3A47">
        <w:rPr>
          <w:rFonts w:ascii="Arial" w:hAnsi="Arial" w:cs="Arial"/>
          <w:sz w:val="22"/>
          <w:szCs w:val="22"/>
        </w:rPr>
        <w:t xml:space="preserve"> Child Benefit Charge (HICBC) adjusted net income starting threshold to </w:t>
      </w:r>
      <w:r w:rsidRPr="00853C8C">
        <w:rPr>
          <w:rFonts w:ascii="Arial" w:hAnsi="Arial" w:cs="Arial"/>
          <w:sz w:val="22"/>
          <w:szCs w:val="22"/>
        </w:rPr>
        <w:t>£60,000,</w:t>
      </w:r>
      <w:r w:rsidRPr="00BD3A47">
        <w:rPr>
          <w:rFonts w:ascii="Arial" w:hAnsi="Arial" w:cs="Arial"/>
          <w:sz w:val="22"/>
          <w:szCs w:val="22"/>
        </w:rPr>
        <w:t xml:space="preserve"> from the 2024-25 tax year onwards.</w:t>
      </w:r>
      <w:r w:rsidR="00853C8C">
        <w:rPr>
          <w:rFonts w:ascii="Arial" w:hAnsi="Arial" w:cs="Arial"/>
          <w:sz w:val="22"/>
          <w:szCs w:val="22"/>
        </w:rPr>
        <w:t xml:space="preserve"> </w:t>
      </w:r>
      <w:r w:rsidR="00853C8C" w:rsidRPr="00BD3A47">
        <w:rPr>
          <w:rFonts w:ascii="Arial" w:hAnsi="Arial" w:cs="Arial"/>
          <w:sz w:val="22"/>
          <w:szCs w:val="22"/>
        </w:rPr>
        <w:t xml:space="preserve">It will also amend section 681C to </w:t>
      </w:r>
      <w:r w:rsidR="00853C8C" w:rsidRPr="00853C8C">
        <w:rPr>
          <w:rFonts w:ascii="Arial" w:hAnsi="Arial" w:cs="Arial"/>
          <w:sz w:val="22"/>
          <w:szCs w:val="22"/>
        </w:rPr>
        <w:t>extend the HICBC taper to between £60,000 and £80,000.</w:t>
      </w:r>
      <w:r w:rsidR="00853C8C" w:rsidRPr="00BD3A47">
        <w:rPr>
          <w:rFonts w:ascii="Arial" w:hAnsi="Arial" w:cs="Arial"/>
          <w:sz w:val="22"/>
          <w:szCs w:val="22"/>
        </w:rPr>
        <w:t xml:space="preserve"> For those with income between £60,000 and £80,000, the rate at which HICBC is charged is halved, and will equal </w:t>
      </w:r>
      <w:r w:rsidR="00853C8C">
        <w:rPr>
          <w:rFonts w:ascii="Arial" w:hAnsi="Arial" w:cs="Arial"/>
          <w:sz w:val="22"/>
          <w:szCs w:val="22"/>
        </w:rPr>
        <w:t>1%</w:t>
      </w:r>
      <w:r w:rsidR="00853C8C" w:rsidRPr="00BD3A47">
        <w:rPr>
          <w:rFonts w:ascii="Arial" w:hAnsi="Arial" w:cs="Arial"/>
          <w:sz w:val="22"/>
          <w:szCs w:val="22"/>
        </w:rPr>
        <w:t xml:space="preserve"> for every </w:t>
      </w:r>
      <w:r w:rsidR="00853C8C" w:rsidRPr="00853C8C">
        <w:rPr>
          <w:rFonts w:ascii="Arial" w:hAnsi="Arial" w:cs="Arial"/>
          <w:sz w:val="22"/>
          <w:szCs w:val="22"/>
        </w:rPr>
        <w:t>£200</w:t>
      </w:r>
      <w:r w:rsidR="00853C8C" w:rsidRPr="00BD3A47">
        <w:rPr>
          <w:rFonts w:ascii="Arial" w:hAnsi="Arial" w:cs="Arial"/>
          <w:sz w:val="22"/>
          <w:szCs w:val="22"/>
        </w:rPr>
        <w:t xml:space="preserve"> of income that exceeds £60,000. The charge on taxpayers with income above £80,000 will be equal to the full amount of child benefit paid.</w:t>
      </w:r>
    </w:p>
    <w:p w14:paraId="21D279B9" w14:textId="4B22124B" w:rsidR="005C689F" w:rsidRPr="00BD3A47" w:rsidRDefault="005C689F" w:rsidP="005C689F">
      <w:pPr>
        <w:rPr>
          <w:rFonts w:ascii="Arial" w:hAnsi="Arial" w:cs="Arial"/>
          <w:sz w:val="22"/>
          <w:szCs w:val="22"/>
        </w:rPr>
      </w:pPr>
    </w:p>
    <w:p w14:paraId="4426D9D4" w14:textId="0873DB4C" w:rsidR="00BC4914" w:rsidRPr="00BC4914" w:rsidRDefault="00BC4914" w:rsidP="00BC4914">
      <w:pPr>
        <w:rPr>
          <w:rFonts w:ascii="Arial" w:hAnsi="Arial" w:cs="Arial"/>
          <w:b/>
          <w:bCs/>
          <w:sz w:val="22"/>
          <w:szCs w:val="22"/>
        </w:rPr>
      </w:pPr>
      <w:r w:rsidRPr="00BC4914">
        <w:rPr>
          <w:rFonts w:ascii="Arial" w:hAnsi="Arial" w:cs="Arial"/>
          <w:b/>
          <w:bCs/>
          <w:sz w:val="22"/>
          <w:szCs w:val="22"/>
        </w:rPr>
        <w:t xml:space="preserve">New </w:t>
      </w:r>
      <w:r>
        <w:rPr>
          <w:rFonts w:ascii="Arial" w:hAnsi="Arial" w:cs="Arial"/>
          <w:b/>
          <w:bCs/>
          <w:sz w:val="22"/>
          <w:szCs w:val="22"/>
        </w:rPr>
        <w:t xml:space="preserve">British </w:t>
      </w:r>
      <w:r w:rsidRPr="00BC4914">
        <w:rPr>
          <w:rFonts w:ascii="Arial" w:hAnsi="Arial" w:cs="Arial"/>
          <w:b/>
          <w:bCs/>
          <w:sz w:val="22"/>
          <w:szCs w:val="22"/>
        </w:rPr>
        <w:t>ISA investment allowance</w:t>
      </w:r>
    </w:p>
    <w:p w14:paraId="6A4C6C23" w14:textId="09779769" w:rsidR="00D342BC" w:rsidRPr="00D342BC" w:rsidRDefault="00D342BC" w:rsidP="00D342BC">
      <w:pPr>
        <w:rPr>
          <w:rFonts w:ascii="Arial" w:hAnsi="Arial" w:cs="Arial"/>
          <w:sz w:val="22"/>
          <w:szCs w:val="22"/>
        </w:rPr>
      </w:pPr>
      <w:r w:rsidRPr="00D342BC">
        <w:rPr>
          <w:rFonts w:ascii="Arial" w:hAnsi="Arial" w:cs="Arial"/>
          <w:sz w:val="22"/>
          <w:szCs w:val="22"/>
        </w:rPr>
        <w:t xml:space="preserve">The government has announced the introduction of the UK ISA. This will have a new ISA allowance of £5,000 in addition to the existing </w:t>
      </w:r>
      <w:r w:rsidR="00412ECA">
        <w:rPr>
          <w:rFonts w:ascii="Arial" w:hAnsi="Arial" w:cs="Arial"/>
          <w:sz w:val="22"/>
          <w:szCs w:val="22"/>
        </w:rPr>
        <w:t xml:space="preserve">annual </w:t>
      </w:r>
      <w:r w:rsidRPr="00D342BC">
        <w:rPr>
          <w:rFonts w:ascii="Arial" w:hAnsi="Arial" w:cs="Arial"/>
          <w:sz w:val="22"/>
          <w:szCs w:val="22"/>
        </w:rPr>
        <w:t>ISA allowance</w:t>
      </w:r>
      <w:r>
        <w:rPr>
          <w:rFonts w:ascii="Arial" w:hAnsi="Arial" w:cs="Arial"/>
          <w:sz w:val="22"/>
          <w:szCs w:val="22"/>
        </w:rPr>
        <w:t xml:space="preserve"> of £20,000</w:t>
      </w:r>
      <w:r w:rsidRPr="00D342BC">
        <w:rPr>
          <w:rFonts w:ascii="Arial" w:hAnsi="Arial" w:cs="Arial"/>
          <w:sz w:val="22"/>
          <w:szCs w:val="22"/>
        </w:rPr>
        <w:t xml:space="preserve"> and will provide a new tax-free savings opportunity for people to invest in the UK</w:t>
      </w:r>
      <w:r w:rsidR="00412ECA">
        <w:rPr>
          <w:rFonts w:ascii="Arial" w:hAnsi="Arial" w:cs="Arial"/>
          <w:sz w:val="22"/>
          <w:szCs w:val="22"/>
        </w:rPr>
        <w:t>.</w:t>
      </w:r>
      <w:r w:rsidR="00006449">
        <w:rPr>
          <w:rFonts w:ascii="Arial" w:hAnsi="Arial" w:cs="Arial"/>
          <w:sz w:val="22"/>
          <w:szCs w:val="22"/>
        </w:rPr>
        <w:t xml:space="preserve"> </w:t>
      </w:r>
      <w:r w:rsidRPr="00D342BC">
        <w:rPr>
          <w:rFonts w:ascii="Arial" w:hAnsi="Arial" w:cs="Arial"/>
          <w:sz w:val="22"/>
          <w:szCs w:val="22"/>
        </w:rPr>
        <w:t>This will be introduced after a consultation which will run from 6 March 2024 to 6 June 2024.</w:t>
      </w:r>
    </w:p>
    <w:p w14:paraId="30932852" w14:textId="35CD26AD" w:rsidR="001D075C" w:rsidRPr="00517B03" w:rsidRDefault="001D075C" w:rsidP="004A51B3">
      <w:pPr>
        <w:textAlignment w:val="baseline"/>
        <w:rPr>
          <w:rFonts w:ascii="Arial" w:hAnsi="Arial" w:cs="Arial"/>
          <w:b/>
          <w:bCs/>
          <w:sz w:val="28"/>
          <w:szCs w:val="28"/>
          <w:lang w:eastAsia="en-GB"/>
        </w:rPr>
      </w:pPr>
      <w:r w:rsidRPr="00517B03">
        <w:rPr>
          <w:rFonts w:ascii="Arial" w:hAnsi="Arial" w:cs="Arial"/>
          <w:b/>
          <w:bCs/>
          <w:sz w:val="28"/>
          <w:szCs w:val="28"/>
          <w:lang w:eastAsia="en-GB"/>
        </w:rPr>
        <w:lastRenderedPageBreak/>
        <w:t>OTHER</w:t>
      </w:r>
    </w:p>
    <w:p w14:paraId="5E564851" w14:textId="77777777" w:rsidR="00AE4408" w:rsidRDefault="00AE4408" w:rsidP="004A51B3">
      <w:pPr>
        <w:textAlignment w:val="baseline"/>
        <w:rPr>
          <w:rFonts w:ascii="Arial" w:hAnsi="Arial" w:cs="Arial"/>
          <w:b/>
          <w:bCs/>
          <w:sz w:val="22"/>
          <w:szCs w:val="22"/>
          <w:lang w:eastAsia="en-GB"/>
        </w:rPr>
      </w:pPr>
    </w:p>
    <w:p w14:paraId="693DC274" w14:textId="544B5273" w:rsidR="00AE4408" w:rsidRDefault="00AE4408" w:rsidP="004A51B3">
      <w:pPr>
        <w:textAlignment w:val="baseline"/>
        <w:rPr>
          <w:rFonts w:ascii="Arial" w:hAnsi="Arial" w:cs="Arial"/>
          <w:b/>
          <w:bCs/>
          <w:sz w:val="22"/>
          <w:szCs w:val="22"/>
          <w:lang w:eastAsia="en-GB"/>
        </w:rPr>
      </w:pPr>
      <w:r>
        <w:rPr>
          <w:rFonts w:ascii="Arial" w:hAnsi="Arial" w:cs="Arial"/>
          <w:b/>
          <w:bCs/>
          <w:sz w:val="22"/>
          <w:szCs w:val="22"/>
          <w:lang w:eastAsia="en-GB"/>
        </w:rPr>
        <w:t xml:space="preserve">Stamp Duty Land Tax (SDLT) relief for multiple dwellings to be </w:t>
      </w:r>
      <w:proofErr w:type="gramStart"/>
      <w:r>
        <w:rPr>
          <w:rFonts w:ascii="Arial" w:hAnsi="Arial" w:cs="Arial"/>
          <w:b/>
          <w:bCs/>
          <w:sz w:val="22"/>
          <w:szCs w:val="22"/>
          <w:lang w:eastAsia="en-GB"/>
        </w:rPr>
        <w:t>abolished</w:t>
      </w:r>
      <w:proofErr w:type="gramEnd"/>
    </w:p>
    <w:p w14:paraId="54B38979" w14:textId="4A3BCE4C" w:rsidR="00AE4408" w:rsidRPr="006C7A43" w:rsidRDefault="0089038F" w:rsidP="006C7A43">
      <w:pPr>
        <w:rPr>
          <w:rFonts w:ascii="Arial" w:hAnsi="Arial" w:cs="Arial"/>
          <w:sz w:val="22"/>
          <w:szCs w:val="22"/>
        </w:rPr>
      </w:pPr>
      <w:r w:rsidRPr="006C7A43">
        <w:rPr>
          <w:rFonts w:ascii="Arial" w:hAnsi="Arial" w:cs="Arial"/>
          <w:sz w:val="22"/>
          <w:szCs w:val="22"/>
        </w:rPr>
        <w:t>Purchasers of residential property in England and Northern Ireland who acquire more than one dwelling in a single transaction or linked transactions</w:t>
      </w:r>
      <w:r w:rsidR="00B03874">
        <w:rPr>
          <w:rFonts w:ascii="Arial" w:hAnsi="Arial" w:cs="Arial"/>
          <w:sz w:val="22"/>
          <w:szCs w:val="22"/>
        </w:rPr>
        <w:t xml:space="preserve"> will not be able to obtain </w:t>
      </w:r>
      <w:r w:rsidR="006C7A43" w:rsidRPr="006C7A43">
        <w:rPr>
          <w:rFonts w:ascii="Arial" w:hAnsi="Arial" w:cs="Arial"/>
          <w:sz w:val="22"/>
          <w:szCs w:val="22"/>
        </w:rPr>
        <w:t>Multiple Dwellings Relief (MDR) from 1 June 2024. MDR is a bulk purchase relief in Stamp Duty Land Tax (SDLT). The rate of tax is normally determined by the total consideration given for land. MDR is available to any purchaser buying 2 or more dwellings in a single transaction, or linked transactions, and allows the purchaser to calculate the tax based on the average value of the dwellings purchased as opposed to their aggregate value.</w:t>
      </w:r>
    </w:p>
    <w:p w14:paraId="29B2CCDE" w14:textId="77777777" w:rsidR="006C7A43" w:rsidRPr="006C7A43" w:rsidRDefault="006C7A43" w:rsidP="006C7A43">
      <w:pPr>
        <w:rPr>
          <w:rFonts w:ascii="Arial" w:hAnsi="Arial" w:cs="Arial"/>
          <w:sz w:val="22"/>
          <w:szCs w:val="22"/>
        </w:rPr>
      </w:pPr>
    </w:p>
    <w:p w14:paraId="16B7A71C" w14:textId="7A61681D" w:rsidR="00D06F31" w:rsidRPr="00D06F31" w:rsidRDefault="00D06F31" w:rsidP="00D06F31">
      <w:pPr>
        <w:rPr>
          <w:rFonts w:ascii="Arial" w:hAnsi="Arial" w:cs="Arial"/>
          <w:b/>
          <w:bCs/>
          <w:sz w:val="22"/>
          <w:szCs w:val="22"/>
        </w:rPr>
      </w:pPr>
      <w:r w:rsidRPr="00D06F31">
        <w:rPr>
          <w:rFonts w:ascii="Arial" w:hAnsi="Arial" w:cs="Arial"/>
          <w:b/>
          <w:bCs/>
          <w:sz w:val="22"/>
          <w:szCs w:val="22"/>
        </w:rPr>
        <w:t xml:space="preserve">Additional </w:t>
      </w:r>
      <w:r w:rsidR="004F28EF">
        <w:rPr>
          <w:rFonts w:ascii="Arial" w:hAnsi="Arial" w:cs="Arial"/>
          <w:b/>
          <w:bCs/>
          <w:sz w:val="22"/>
          <w:szCs w:val="22"/>
        </w:rPr>
        <w:t>r</w:t>
      </w:r>
      <w:r w:rsidRPr="00D06F31">
        <w:rPr>
          <w:rFonts w:ascii="Arial" w:hAnsi="Arial" w:cs="Arial"/>
          <w:b/>
          <w:bCs/>
          <w:sz w:val="22"/>
          <w:szCs w:val="22"/>
        </w:rPr>
        <w:t>esource</w:t>
      </w:r>
      <w:r w:rsidR="004F28EF">
        <w:rPr>
          <w:rFonts w:ascii="Arial" w:hAnsi="Arial" w:cs="Arial"/>
          <w:b/>
          <w:bCs/>
          <w:sz w:val="22"/>
          <w:szCs w:val="22"/>
        </w:rPr>
        <w:t>s</w:t>
      </w:r>
      <w:r w:rsidRPr="00D06F31">
        <w:rPr>
          <w:rFonts w:ascii="Arial" w:hAnsi="Arial" w:cs="Arial"/>
          <w:b/>
          <w:bCs/>
          <w:sz w:val="22"/>
          <w:szCs w:val="22"/>
        </w:rPr>
        <w:t xml:space="preserve"> for HMRC </w:t>
      </w:r>
    </w:p>
    <w:p w14:paraId="72D2326E" w14:textId="7F13AD77" w:rsidR="00980DCD" w:rsidRPr="00A869BC" w:rsidRDefault="00FB473D" w:rsidP="009C5F6B">
      <w:pPr>
        <w:rPr>
          <w:rFonts w:ascii="Arial" w:hAnsi="Arial" w:cs="Arial"/>
          <w:sz w:val="22"/>
          <w:szCs w:val="22"/>
        </w:rPr>
      </w:pPr>
      <w:r w:rsidRPr="00A869BC">
        <w:rPr>
          <w:rFonts w:ascii="Arial" w:hAnsi="Arial" w:cs="Arial"/>
          <w:sz w:val="22"/>
          <w:szCs w:val="22"/>
        </w:rPr>
        <w:t>The government is continuing to tackle tax non-compliance by making further investments, including in HMRC’s capacity to collect tax debts.</w:t>
      </w:r>
      <w:r w:rsidR="00A869BC" w:rsidRPr="00A869BC">
        <w:rPr>
          <w:rFonts w:ascii="Arial" w:hAnsi="Arial" w:cs="Arial"/>
          <w:sz w:val="22"/>
          <w:szCs w:val="22"/>
        </w:rPr>
        <w:t xml:space="preserve"> The government is building on strong actions at recent fiscal events, including measures to clamp down on promoters of tax avoidance, and is now going further to strengthen taxpayer protections, making it harder for bad actors to provide tax advice that could cause harm. The government is consulting both on options to strengthen the regulatory framework in the tax advice market, and on requiring tax advisers to register with HMRC if they wish to interact with HMRC on a client’s behalf. </w:t>
      </w:r>
    </w:p>
    <w:p w14:paraId="4B5CB8C0" w14:textId="77777777" w:rsidR="00D677D7" w:rsidRDefault="00D677D7" w:rsidP="009C5F6B">
      <w:pPr>
        <w:rPr>
          <w:rFonts w:ascii="Arial" w:hAnsi="Arial" w:cs="Arial"/>
          <w:b/>
          <w:sz w:val="22"/>
          <w:szCs w:val="22"/>
        </w:rPr>
      </w:pPr>
    </w:p>
    <w:p w14:paraId="4BDA11F5" w14:textId="77777777" w:rsidR="0072172A" w:rsidRDefault="0072172A" w:rsidP="009C5F6B">
      <w:pPr>
        <w:rPr>
          <w:rFonts w:ascii="Arial" w:hAnsi="Arial" w:cs="Arial"/>
          <w:b/>
          <w:sz w:val="22"/>
          <w:szCs w:val="22"/>
        </w:rPr>
      </w:pPr>
    </w:p>
    <w:p w14:paraId="13C5D3F8" w14:textId="77777777" w:rsidR="0072172A" w:rsidRDefault="0072172A" w:rsidP="009C5F6B">
      <w:pPr>
        <w:rPr>
          <w:rFonts w:ascii="Arial" w:hAnsi="Arial" w:cs="Arial"/>
          <w:b/>
          <w:sz w:val="22"/>
          <w:szCs w:val="22"/>
        </w:rPr>
      </w:pPr>
    </w:p>
    <w:p w14:paraId="672138ED" w14:textId="77777777" w:rsidR="0072172A" w:rsidRDefault="0072172A" w:rsidP="009C5F6B">
      <w:pPr>
        <w:rPr>
          <w:rFonts w:ascii="Arial" w:hAnsi="Arial" w:cs="Arial"/>
          <w:b/>
          <w:sz w:val="22"/>
          <w:szCs w:val="22"/>
        </w:rPr>
      </w:pPr>
    </w:p>
    <w:p w14:paraId="7683CA3A" w14:textId="77777777" w:rsidR="0072172A" w:rsidRDefault="0072172A" w:rsidP="009C5F6B">
      <w:pPr>
        <w:rPr>
          <w:rFonts w:ascii="Arial" w:hAnsi="Arial" w:cs="Arial"/>
          <w:b/>
          <w:sz w:val="22"/>
          <w:szCs w:val="22"/>
        </w:rPr>
      </w:pPr>
    </w:p>
    <w:p w14:paraId="3AA378AA" w14:textId="77777777" w:rsidR="0072172A" w:rsidRDefault="0072172A" w:rsidP="009C5F6B">
      <w:pPr>
        <w:rPr>
          <w:rFonts w:ascii="Arial" w:hAnsi="Arial" w:cs="Arial"/>
          <w:b/>
          <w:sz w:val="22"/>
          <w:szCs w:val="22"/>
        </w:rPr>
      </w:pPr>
    </w:p>
    <w:p w14:paraId="68285736" w14:textId="77777777" w:rsidR="0072172A" w:rsidRDefault="0072172A" w:rsidP="009C5F6B">
      <w:pPr>
        <w:rPr>
          <w:rFonts w:ascii="Arial" w:hAnsi="Arial" w:cs="Arial"/>
          <w:b/>
          <w:sz w:val="22"/>
          <w:szCs w:val="22"/>
        </w:rPr>
      </w:pPr>
    </w:p>
    <w:p w14:paraId="0A8BE675" w14:textId="77777777" w:rsidR="0072172A" w:rsidRDefault="0072172A" w:rsidP="009C5F6B">
      <w:pPr>
        <w:rPr>
          <w:rFonts w:ascii="Arial" w:hAnsi="Arial" w:cs="Arial"/>
          <w:b/>
          <w:sz w:val="22"/>
          <w:szCs w:val="22"/>
        </w:rPr>
      </w:pPr>
    </w:p>
    <w:p w14:paraId="5AD13FF8" w14:textId="77777777" w:rsidR="00517B03" w:rsidRDefault="00517B03" w:rsidP="009C5F6B">
      <w:pPr>
        <w:rPr>
          <w:rFonts w:ascii="Arial" w:hAnsi="Arial" w:cs="Arial"/>
          <w:b/>
          <w:sz w:val="22"/>
          <w:szCs w:val="22"/>
        </w:rPr>
      </w:pPr>
    </w:p>
    <w:p w14:paraId="33C08ED1" w14:textId="77777777" w:rsidR="00517B03" w:rsidRDefault="00517B03" w:rsidP="009C5F6B">
      <w:pPr>
        <w:rPr>
          <w:rFonts w:ascii="Arial" w:hAnsi="Arial" w:cs="Arial"/>
          <w:b/>
          <w:sz w:val="22"/>
          <w:szCs w:val="22"/>
        </w:rPr>
      </w:pPr>
    </w:p>
    <w:p w14:paraId="434488E7" w14:textId="77777777" w:rsidR="00517B03" w:rsidRDefault="00517B03" w:rsidP="009C5F6B">
      <w:pPr>
        <w:rPr>
          <w:rFonts w:ascii="Arial" w:hAnsi="Arial" w:cs="Arial"/>
          <w:b/>
          <w:sz w:val="22"/>
          <w:szCs w:val="22"/>
        </w:rPr>
      </w:pPr>
    </w:p>
    <w:p w14:paraId="6AD289EB" w14:textId="77777777" w:rsidR="00517B03" w:rsidRDefault="00517B03" w:rsidP="009C5F6B">
      <w:pPr>
        <w:rPr>
          <w:rFonts w:ascii="Arial" w:hAnsi="Arial" w:cs="Arial"/>
          <w:b/>
          <w:sz w:val="22"/>
          <w:szCs w:val="22"/>
        </w:rPr>
      </w:pPr>
    </w:p>
    <w:p w14:paraId="2799F84B" w14:textId="77777777" w:rsidR="00517B03" w:rsidRDefault="00517B03" w:rsidP="009C5F6B">
      <w:pPr>
        <w:rPr>
          <w:rFonts w:ascii="Arial" w:hAnsi="Arial" w:cs="Arial"/>
          <w:b/>
          <w:sz w:val="22"/>
          <w:szCs w:val="22"/>
        </w:rPr>
      </w:pPr>
    </w:p>
    <w:p w14:paraId="4CDB0E5A" w14:textId="77777777" w:rsidR="00517B03" w:rsidRDefault="00517B03" w:rsidP="009C5F6B">
      <w:pPr>
        <w:rPr>
          <w:rFonts w:ascii="Arial" w:hAnsi="Arial" w:cs="Arial"/>
          <w:b/>
          <w:sz w:val="22"/>
          <w:szCs w:val="22"/>
        </w:rPr>
      </w:pPr>
    </w:p>
    <w:p w14:paraId="611AE64F" w14:textId="77777777" w:rsidR="00517B03" w:rsidRDefault="00517B03" w:rsidP="009C5F6B">
      <w:pPr>
        <w:rPr>
          <w:rFonts w:ascii="Arial" w:hAnsi="Arial" w:cs="Arial"/>
          <w:b/>
          <w:sz w:val="22"/>
          <w:szCs w:val="22"/>
        </w:rPr>
      </w:pPr>
    </w:p>
    <w:p w14:paraId="53900A00" w14:textId="77777777" w:rsidR="00517B03" w:rsidRDefault="00517B03" w:rsidP="009C5F6B">
      <w:pPr>
        <w:rPr>
          <w:rFonts w:ascii="Arial" w:hAnsi="Arial" w:cs="Arial"/>
          <w:b/>
          <w:sz w:val="22"/>
          <w:szCs w:val="22"/>
        </w:rPr>
      </w:pPr>
    </w:p>
    <w:p w14:paraId="3FE99FE4" w14:textId="77777777" w:rsidR="00517B03" w:rsidRDefault="00517B03" w:rsidP="009C5F6B">
      <w:pPr>
        <w:rPr>
          <w:rFonts w:ascii="Arial" w:hAnsi="Arial" w:cs="Arial"/>
          <w:b/>
          <w:sz w:val="22"/>
          <w:szCs w:val="22"/>
        </w:rPr>
      </w:pPr>
    </w:p>
    <w:p w14:paraId="3F0B63A6" w14:textId="77777777" w:rsidR="00517B03" w:rsidRDefault="00517B03" w:rsidP="009C5F6B">
      <w:pPr>
        <w:rPr>
          <w:rFonts w:ascii="Arial" w:hAnsi="Arial" w:cs="Arial"/>
          <w:b/>
          <w:sz w:val="22"/>
          <w:szCs w:val="22"/>
        </w:rPr>
      </w:pPr>
    </w:p>
    <w:p w14:paraId="54962AA8" w14:textId="77777777" w:rsidR="00517B03" w:rsidRDefault="00517B03" w:rsidP="009C5F6B">
      <w:pPr>
        <w:rPr>
          <w:rFonts w:ascii="Arial" w:hAnsi="Arial" w:cs="Arial"/>
          <w:b/>
          <w:sz w:val="22"/>
          <w:szCs w:val="22"/>
        </w:rPr>
      </w:pPr>
    </w:p>
    <w:p w14:paraId="1E9ADC94" w14:textId="77777777" w:rsidR="0072172A" w:rsidRDefault="0072172A" w:rsidP="009C5F6B">
      <w:pPr>
        <w:rPr>
          <w:rFonts w:ascii="Arial" w:hAnsi="Arial" w:cs="Arial"/>
          <w:b/>
          <w:sz w:val="22"/>
          <w:szCs w:val="22"/>
        </w:rPr>
      </w:pPr>
    </w:p>
    <w:p w14:paraId="27EAAA01" w14:textId="77777777" w:rsidR="0072172A" w:rsidRDefault="0072172A" w:rsidP="009C5F6B">
      <w:pPr>
        <w:rPr>
          <w:rFonts w:ascii="Arial" w:hAnsi="Arial" w:cs="Arial"/>
          <w:b/>
          <w:sz w:val="22"/>
          <w:szCs w:val="22"/>
        </w:rPr>
      </w:pPr>
    </w:p>
    <w:p w14:paraId="44705189" w14:textId="77777777" w:rsidR="0072172A" w:rsidRPr="00242A37" w:rsidRDefault="0072172A" w:rsidP="009C5F6B">
      <w:pPr>
        <w:rPr>
          <w:rFonts w:ascii="Arial" w:hAnsi="Arial" w:cs="Arial"/>
          <w:b/>
          <w:sz w:val="22"/>
          <w:szCs w:val="22"/>
        </w:rPr>
      </w:pPr>
    </w:p>
    <w:p w14:paraId="7A82B5BF" w14:textId="513C052F" w:rsidR="009C5F6B" w:rsidRPr="00242A37" w:rsidRDefault="004510B3" w:rsidP="009C5F6B">
      <w:pPr>
        <w:rPr>
          <w:rFonts w:ascii="Arial" w:hAnsi="Arial" w:cs="Arial"/>
          <w:b/>
          <w:sz w:val="22"/>
          <w:szCs w:val="22"/>
        </w:rPr>
      </w:pPr>
      <w:r>
        <w:rPr>
          <w:rFonts w:ascii="Arial" w:hAnsi="Arial" w:cs="Arial"/>
          <w:b/>
          <w:sz w:val="22"/>
          <w:szCs w:val="22"/>
        </w:rPr>
        <w:t>March 2024</w:t>
      </w:r>
    </w:p>
    <w:p w14:paraId="2AE13E00" w14:textId="77777777" w:rsidR="009C5F6B" w:rsidRPr="00242A37" w:rsidRDefault="009C5F6B" w:rsidP="00FA576A">
      <w:pPr>
        <w:rPr>
          <w:rFonts w:ascii="Arial" w:hAnsi="Arial" w:cs="Arial"/>
          <w:sz w:val="22"/>
          <w:szCs w:val="22"/>
        </w:rPr>
      </w:pPr>
    </w:p>
    <w:p w14:paraId="41779025" w14:textId="77777777" w:rsidR="00DA1DD0" w:rsidRPr="00242A37" w:rsidRDefault="00DA1DD0" w:rsidP="00FA576A">
      <w:pPr>
        <w:rPr>
          <w:rFonts w:ascii="Arial" w:hAnsi="Arial" w:cs="Arial"/>
          <w:b/>
          <w:sz w:val="20"/>
          <w:szCs w:val="20"/>
        </w:rPr>
      </w:pPr>
      <w:r w:rsidRPr="00242A37">
        <w:rPr>
          <w:rFonts w:ascii="Arial" w:hAnsi="Arial" w:cs="Arial"/>
          <w:b/>
          <w:sz w:val="20"/>
          <w:szCs w:val="20"/>
        </w:rPr>
        <w:t>ACCA LEGAL NOTICE</w:t>
      </w:r>
    </w:p>
    <w:p w14:paraId="6B16243E" w14:textId="12DC46AF" w:rsidR="00351B17" w:rsidRPr="00242A37" w:rsidRDefault="00DA1DD0">
      <w:pPr>
        <w:spacing w:before="240"/>
        <w:rPr>
          <w:rFonts w:ascii="Arial" w:hAnsi="Arial" w:cs="Arial"/>
          <w:bCs/>
          <w:iCs/>
          <w:sz w:val="20"/>
          <w:szCs w:val="20"/>
        </w:rPr>
      </w:pPr>
      <w:r w:rsidRPr="00242A37">
        <w:rPr>
          <w:rFonts w:ascii="Arial" w:hAnsi="Arial" w:cs="Arial"/>
          <w:bCs/>
          <w:sz w:val="20"/>
          <w:szCs w:val="20"/>
        </w:rPr>
        <w:t xml:space="preserve">This is a basic guide prepared by </w:t>
      </w:r>
      <w:r w:rsidRPr="00242A37">
        <w:rPr>
          <w:rStyle w:val="Emphasis"/>
          <w:rFonts w:ascii="Arial" w:hAnsi="Arial" w:cs="Arial"/>
          <w:bCs/>
          <w:i w:val="0"/>
          <w:sz w:val="20"/>
          <w:szCs w:val="20"/>
        </w:rPr>
        <w:t>ACCA UK</w:t>
      </w:r>
      <w:r w:rsidRPr="00242A37">
        <w:rPr>
          <w:rFonts w:ascii="Arial" w:hAnsi="Arial" w:cs="Arial"/>
          <w:bCs/>
          <w:iCs/>
          <w:sz w:val="20"/>
          <w:szCs w:val="20"/>
        </w:rPr>
        <w:t xml:space="preserve">'s Technical Advisory Service for members and their clients. It should not be used as a definitive guide since individual circumstances may vary. Specific advice should be obtained, where </w:t>
      </w:r>
      <w:r w:rsidR="00D677D7" w:rsidRPr="00242A37">
        <w:rPr>
          <w:rFonts w:ascii="Arial" w:hAnsi="Arial" w:cs="Arial"/>
          <w:bCs/>
          <w:iCs/>
          <w:sz w:val="20"/>
          <w:szCs w:val="20"/>
        </w:rPr>
        <w:t>n</w:t>
      </w:r>
      <w:r w:rsidRPr="00242A37">
        <w:rPr>
          <w:rFonts w:ascii="Arial" w:hAnsi="Arial" w:cs="Arial"/>
          <w:bCs/>
          <w:iCs/>
          <w:sz w:val="20"/>
          <w:szCs w:val="20"/>
        </w:rPr>
        <w:t>ecessary.</w:t>
      </w:r>
    </w:p>
    <w:sectPr w:rsidR="00351B17" w:rsidRPr="00242A37" w:rsidSect="008F1CCA">
      <w:headerReference w:type="default" r:id="rId12"/>
      <w:footerReference w:type="default" r:id="rId13"/>
      <w:headerReference w:type="first" r:id="rId14"/>
      <w:footerReference w:type="first" r:id="rId15"/>
      <w:pgSz w:w="11907" w:h="16840" w:code="9"/>
      <w:pgMar w:top="1134" w:right="1134" w:bottom="1134" w:left="1134"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7037" w14:textId="77777777" w:rsidR="008F1CCA" w:rsidRDefault="008F1CCA">
      <w:r>
        <w:separator/>
      </w:r>
    </w:p>
  </w:endnote>
  <w:endnote w:type="continuationSeparator" w:id="0">
    <w:p w14:paraId="2D502500" w14:textId="77777777" w:rsidR="008F1CCA" w:rsidRDefault="008F1CCA">
      <w:r>
        <w:continuationSeparator/>
      </w:r>
    </w:p>
  </w:endnote>
  <w:endnote w:type="continuationNotice" w:id="1">
    <w:p w14:paraId="2D52598F" w14:textId="77777777" w:rsidR="008F1CCA" w:rsidRDefault="008F1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sGoth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FD16" w14:textId="77777777" w:rsidR="00582450" w:rsidRDefault="00582450">
    <w:pPr>
      <w:pStyle w:val="Footer"/>
      <w:jc w:val="center"/>
      <w:rPr>
        <w:rFonts w:ascii="NewsGoth BT" w:hAnsi="NewsGoth BT"/>
        <w:sz w:val="20"/>
        <w:szCs w:val="20"/>
      </w:rPr>
    </w:pPr>
  </w:p>
  <w:p w14:paraId="0AF00279" w14:textId="77777777" w:rsidR="00582450" w:rsidRPr="00D8518A" w:rsidRDefault="00582450">
    <w:pPr>
      <w:pStyle w:val="Footer"/>
      <w:jc w:val="center"/>
      <w:rPr>
        <w:rFonts w:ascii="Arial" w:hAnsi="Arial" w:cs="Arial"/>
        <w:sz w:val="20"/>
        <w:szCs w:val="20"/>
      </w:rPr>
    </w:pPr>
    <w:r w:rsidRPr="00D8518A">
      <w:rPr>
        <w:rFonts w:ascii="Arial" w:hAnsi="Arial" w:cs="Arial"/>
        <w:sz w:val="20"/>
        <w:szCs w:val="20"/>
      </w:rPr>
      <w:fldChar w:fldCharType="begin"/>
    </w:r>
    <w:r w:rsidRPr="00D8518A">
      <w:rPr>
        <w:rFonts w:ascii="Arial" w:hAnsi="Arial" w:cs="Arial"/>
        <w:sz w:val="20"/>
        <w:szCs w:val="20"/>
      </w:rPr>
      <w:instrText xml:space="preserve"> PAGE   \* MERGEFORMAT </w:instrText>
    </w:r>
    <w:r w:rsidRPr="00D8518A">
      <w:rPr>
        <w:rFonts w:ascii="Arial" w:hAnsi="Arial" w:cs="Arial"/>
        <w:sz w:val="20"/>
        <w:szCs w:val="20"/>
      </w:rPr>
      <w:fldChar w:fldCharType="separate"/>
    </w:r>
    <w:r w:rsidR="00780825" w:rsidRPr="00D8518A">
      <w:rPr>
        <w:rFonts w:ascii="Arial" w:hAnsi="Arial" w:cs="Arial"/>
        <w:noProof/>
        <w:sz w:val="20"/>
        <w:szCs w:val="20"/>
      </w:rPr>
      <w:t>2</w:t>
    </w:r>
    <w:r w:rsidRPr="00D8518A">
      <w:rPr>
        <w:rFonts w:ascii="Arial" w:hAnsi="Arial" w:cs="Arial"/>
        <w:sz w:val="20"/>
        <w:szCs w:val="20"/>
      </w:rPr>
      <w:fldChar w:fldCharType="end"/>
    </w:r>
  </w:p>
  <w:p w14:paraId="349B8864" w14:textId="77777777" w:rsidR="00582450" w:rsidRPr="009118B9" w:rsidRDefault="00582450" w:rsidP="009118B9">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15AD" w14:textId="77777777" w:rsidR="00582450" w:rsidRDefault="00582450">
    <w:pPr>
      <w:pStyle w:val="Footer"/>
      <w:jc w:val="center"/>
    </w:pPr>
  </w:p>
  <w:p w14:paraId="5CE98D26" w14:textId="77777777" w:rsidR="00582450" w:rsidRPr="00826DC4" w:rsidRDefault="00582450" w:rsidP="00060939">
    <w:pPr>
      <w:pStyle w:val="Footer"/>
      <w:jc w:val="center"/>
      <w:rPr>
        <w:rFonts w:ascii="Arial" w:hAnsi="Arial" w:cs="Arial"/>
        <w:sz w:val="20"/>
        <w:szCs w:val="20"/>
      </w:rPr>
    </w:pPr>
    <w:r w:rsidRPr="00826DC4">
      <w:rPr>
        <w:rFonts w:ascii="Arial" w:hAnsi="Arial" w:cs="Arial"/>
        <w:sz w:val="20"/>
        <w:szCs w:val="20"/>
      </w:rPr>
      <w:fldChar w:fldCharType="begin"/>
    </w:r>
    <w:r w:rsidRPr="00826DC4">
      <w:rPr>
        <w:rFonts w:ascii="Arial" w:hAnsi="Arial" w:cs="Arial"/>
        <w:sz w:val="20"/>
        <w:szCs w:val="20"/>
      </w:rPr>
      <w:instrText xml:space="preserve"> PAGE   \* MERGEFORMAT </w:instrText>
    </w:r>
    <w:r w:rsidRPr="00826DC4">
      <w:rPr>
        <w:rFonts w:ascii="Arial" w:hAnsi="Arial" w:cs="Arial"/>
        <w:sz w:val="20"/>
        <w:szCs w:val="20"/>
      </w:rPr>
      <w:fldChar w:fldCharType="separate"/>
    </w:r>
    <w:r w:rsidR="00780825" w:rsidRPr="00826DC4">
      <w:rPr>
        <w:rFonts w:ascii="Arial" w:hAnsi="Arial" w:cs="Arial"/>
        <w:noProof/>
        <w:sz w:val="20"/>
        <w:szCs w:val="20"/>
      </w:rPr>
      <w:t>1</w:t>
    </w:r>
    <w:r w:rsidRPr="00826DC4">
      <w:rPr>
        <w:rFonts w:ascii="Arial" w:hAnsi="Arial" w:cs="Arial"/>
        <w:sz w:val="20"/>
        <w:szCs w:val="20"/>
      </w:rPr>
      <w:fldChar w:fldCharType="end"/>
    </w:r>
  </w:p>
  <w:p w14:paraId="06D8DC06" w14:textId="77777777" w:rsidR="00582450" w:rsidRDefault="0058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F9AA" w14:textId="77777777" w:rsidR="008F1CCA" w:rsidRDefault="008F1CCA">
      <w:r>
        <w:separator/>
      </w:r>
    </w:p>
  </w:footnote>
  <w:footnote w:type="continuationSeparator" w:id="0">
    <w:p w14:paraId="562C101F" w14:textId="77777777" w:rsidR="008F1CCA" w:rsidRDefault="008F1CCA">
      <w:r>
        <w:continuationSeparator/>
      </w:r>
    </w:p>
  </w:footnote>
  <w:footnote w:type="continuationNotice" w:id="1">
    <w:p w14:paraId="294CAE84" w14:textId="77777777" w:rsidR="008F1CCA" w:rsidRDefault="008F1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4AE7" w14:textId="77777777" w:rsidR="00582450" w:rsidRDefault="00582450" w:rsidP="001B6823">
    <w:pPr>
      <w:pStyle w:val="Header"/>
      <w:tabs>
        <w:tab w:val="clear" w:pos="4153"/>
        <w:tab w:val="clear" w:pos="8306"/>
        <w:tab w:val="left" w:pos="56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3C4E" w14:textId="2CA920D6" w:rsidR="00582450" w:rsidRPr="00955165" w:rsidRDefault="00A75D98" w:rsidP="00A75D98">
    <w:pPr>
      <w:pStyle w:val="Header"/>
      <w:jc w:val="right"/>
      <w:rPr>
        <w:rFonts w:ascii="Arial" w:hAnsi="Arial" w:cs="Arial"/>
        <w:noProof/>
        <w:color w:val="000000"/>
        <w:sz w:val="20"/>
        <w:szCs w:val="20"/>
        <w:lang w:eastAsia="en-GB"/>
      </w:rPr>
    </w:pPr>
    <w:r w:rsidRPr="00F378E2">
      <w:rPr>
        <w:noProof/>
        <w:lang w:eastAsia="en-GB"/>
      </w:rPr>
      <w:drawing>
        <wp:inline distT="0" distB="0" distL="0" distR="0" wp14:anchorId="6F5D794C" wp14:editId="7003445B">
          <wp:extent cx="2420212" cy="7620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7364" cy="761103"/>
                  </a:xfrm>
                  <a:prstGeom prst="rect">
                    <a:avLst/>
                  </a:prstGeom>
                  <a:noFill/>
                  <a:ln>
                    <a:noFill/>
                  </a:ln>
                </pic:spPr>
              </pic:pic>
            </a:graphicData>
          </a:graphic>
        </wp:inline>
      </w:drawing>
    </w:r>
  </w:p>
  <w:p w14:paraId="1BBD4DB6" w14:textId="77777777" w:rsidR="00582450" w:rsidRDefault="00582450" w:rsidP="00060939">
    <w:pPr>
      <w:pStyle w:val="Header"/>
      <w:shd w:val="clear" w:color="auto" w:fill="D9D9D9"/>
      <w:tabs>
        <w:tab w:val="clear" w:pos="8306"/>
        <w:tab w:val="left" w:pos="567"/>
        <w:tab w:val="left" w:pos="1320"/>
        <w:tab w:val="left" w:pos="4153"/>
      </w:tabs>
      <w:ind w:firstLine="567"/>
      <w:rPr>
        <w:rFonts w:ascii="Arial" w:hAnsi="Arial" w:cs="Arial"/>
        <w:noProof/>
        <w:color w:val="000000"/>
        <w:sz w:val="28"/>
        <w:szCs w:val="28"/>
        <w:lang w:eastAsia="en-GB"/>
      </w:rPr>
    </w:pPr>
    <w:r>
      <w:rPr>
        <w:rFonts w:ascii="Arial" w:hAnsi="Arial" w:cs="Arial"/>
        <w:noProof/>
        <w:color w:val="000000"/>
        <w:sz w:val="28"/>
        <w:szCs w:val="28"/>
        <w:lang w:eastAsia="en-GB"/>
      </w:rPr>
      <w:tab/>
    </w:r>
    <w:r>
      <w:rPr>
        <w:rFonts w:ascii="Arial" w:hAnsi="Arial" w:cs="Arial"/>
        <w:noProof/>
        <w:color w:val="000000"/>
        <w:sz w:val="28"/>
        <w:szCs w:val="28"/>
        <w:lang w:eastAsia="en-GB"/>
      </w:rPr>
      <w:tab/>
    </w:r>
  </w:p>
  <w:p w14:paraId="485AFCA2" w14:textId="77777777" w:rsidR="00582450" w:rsidRPr="001A3DC3" w:rsidRDefault="00582450" w:rsidP="008A7D29">
    <w:pPr>
      <w:pStyle w:val="Header"/>
      <w:shd w:val="clear" w:color="auto" w:fill="D9D9D9"/>
      <w:tabs>
        <w:tab w:val="clear" w:pos="4153"/>
        <w:tab w:val="clear" w:pos="8306"/>
        <w:tab w:val="left" w:pos="284"/>
      </w:tabs>
      <w:rPr>
        <w:rFonts w:ascii="Arial" w:hAnsi="Arial" w:cs="Arial"/>
        <w:b/>
        <w:bCs/>
        <w:sz w:val="28"/>
        <w:szCs w:val="28"/>
      </w:rPr>
    </w:pPr>
    <w:r>
      <w:rPr>
        <w:rFonts w:ascii="Arial" w:hAnsi="Arial" w:cs="Arial"/>
        <w:noProof/>
        <w:color w:val="000000"/>
        <w:sz w:val="28"/>
        <w:szCs w:val="28"/>
        <w:lang w:eastAsia="en-GB"/>
      </w:rPr>
      <w:tab/>
      <w:t>Guide from</w:t>
    </w:r>
  </w:p>
  <w:p w14:paraId="659AB18F" w14:textId="77777777" w:rsidR="00582450" w:rsidRPr="001A3DC3" w:rsidRDefault="00582450" w:rsidP="008A7D29">
    <w:pPr>
      <w:pStyle w:val="Header"/>
      <w:shd w:val="clear" w:color="auto" w:fill="D9D9D9"/>
      <w:tabs>
        <w:tab w:val="clear" w:pos="4153"/>
        <w:tab w:val="clear" w:pos="8306"/>
        <w:tab w:val="left" w:pos="284"/>
      </w:tabs>
      <w:rPr>
        <w:rFonts w:ascii="Arial" w:hAnsi="Arial" w:cs="Arial"/>
        <w:b/>
        <w:bCs/>
        <w:sz w:val="44"/>
        <w:szCs w:val="44"/>
      </w:rPr>
    </w:pPr>
    <w:r>
      <w:rPr>
        <w:rFonts w:ascii="Arial" w:hAnsi="Arial" w:cs="Arial"/>
        <w:bCs/>
        <w:sz w:val="44"/>
        <w:szCs w:val="44"/>
      </w:rPr>
      <w:tab/>
    </w:r>
    <w:r w:rsidRPr="001A3DC3">
      <w:rPr>
        <w:rFonts w:ascii="Arial" w:hAnsi="Arial" w:cs="Arial"/>
        <w:bCs/>
        <w:sz w:val="44"/>
        <w:szCs w:val="44"/>
      </w:rPr>
      <w:t>[insert your firm’s name here]</w:t>
    </w:r>
  </w:p>
  <w:p w14:paraId="7A9AAB90" w14:textId="77777777" w:rsidR="00582450" w:rsidRPr="001A3DC3" w:rsidRDefault="00582450" w:rsidP="008A7D29">
    <w:pPr>
      <w:pStyle w:val="Header"/>
      <w:shd w:val="clear" w:color="auto" w:fill="D9D9D9"/>
      <w:tabs>
        <w:tab w:val="clear" w:pos="4153"/>
        <w:tab w:val="clear" w:pos="8306"/>
        <w:tab w:val="left" w:pos="915"/>
      </w:tabs>
      <w:rPr>
        <w:rFonts w:ascii="Arial" w:hAnsi="Arial" w:cs="Arial"/>
        <w:b/>
        <w:bCs/>
      </w:rPr>
    </w:pPr>
    <w:r>
      <w:rPr>
        <w:rFonts w:ascii="Arial" w:hAnsi="Arial" w:cs="Arial"/>
        <w:b/>
        <w:bCs/>
      </w:rPr>
      <w:tab/>
    </w:r>
  </w:p>
  <w:p w14:paraId="1AB4B3BE" w14:textId="3A55B546" w:rsidR="00582450" w:rsidRDefault="00582450" w:rsidP="008A7D29">
    <w:pPr>
      <w:pStyle w:val="Header"/>
      <w:shd w:val="clear" w:color="auto" w:fill="D9D9D9"/>
      <w:tabs>
        <w:tab w:val="clear" w:pos="4153"/>
        <w:tab w:val="clear" w:pos="8306"/>
        <w:tab w:val="left" w:pos="284"/>
      </w:tabs>
      <w:rPr>
        <w:rFonts w:ascii="Arial" w:hAnsi="Arial" w:cs="Arial"/>
        <w:bCs/>
        <w:sz w:val="20"/>
        <w:szCs w:val="20"/>
      </w:rPr>
    </w:pPr>
    <w:r>
      <w:rPr>
        <w:rFonts w:ascii="Arial" w:hAnsi="Arial" w:cs="Arial"/>
        <w:bCs/>
        <w:sz w:val="20"/>
        <w:szCs w:val="20"/>
      </w:rPr>
      <w:tab/>
    </w:r>
    <w:r w:rsidRPr="00892B85">
      <w:rPr>
        <w:rFonts w:ascii="Arial" w:hAnsi="Arial" w:cs="Arial"/>
        <w:bCs/>
        <w:sz w:val="20"/>
        <w:szCs w:val="20"/>
      </w:rPr>
      <w:t xml:space="preserve">Tel: </w:t>
    </w:r>
    <w:r>
      <w:rPr>
        <w:rFonts w:ascii="Arial" w:hAnsi="Arial" w:cs="Arial"/>
        <w:bCs/>
        <w:sz w:val="20"/>
        <w:szCs w:val="20"/>
      </w:rPr>
      <w:t>[insert telephone number here] E</w:t>
    </w:r>
    <w:r w:rsidRPr="00892B85">
      <w:rPr>
        <w:rFonts w:ascii="Arial" w:hAnsi="Arial" w:cs="Arial"/>
        <w:bCs/>
        <w:sz w:val="20"/>
        <w:szCs w:val="20"/>
      </w:rPr>
      <w:t>mail</w:t>
    </w:r>
    <w:r>
      <w:rPr>
        <w:rFonts w:ascii="Arial" w:hAnsi="Arial" w:cs="Arial"/>
        <w:bCs/>
        <w:sz w:val="20"/>
        <w:szCs w:val="20"/>
      </w:rPr>
      <w:t>:</w:t>
    </w:r>
    <w:r w:rsidR="00020C9A">
      <w:rPr>
        <w:rFonts w:ascii="Arial" w:hAnsi="Arial" w:cs="Arial"/>
        <w:bCs/>
        <w:sz w:val="20"/>
        <w:szCs w:val="20"/>
      </w:rPr>
      <w:t xml:space="preserve"> </w:t>
    </w:r>
    <w:r>
      <w:rPr>
        <w:rFonts w:ascii="Arial" w:hAnsi="Arial" w:cs="Arial"/>
        <w:bCs/>
        <w:sz w:val="20"/>
        <w:szCs w:val="20"/>
      </w:rPr>
      <w:t xml:space="preserve">[insert email address here] </w:t>
    </w:r>
    <w:r w:rsidR="00020C9A">
      <w:rPr>
        <w:rFonts w:ascii="Arial" w:hAnsi="Arial" w:cs="Arial"/>
        <w:bCs/>
        <w:sz w:val="20"/>
        <w:szCs w:val="20"/>
      </w:rPr>
      <w:t xml:space="preserve">Website: </w:t>
    </w:r>
    <w:r>
      <w:rPr>
        <w:rFonts w:ascii="Arial" w:hAnsi="Arial" w:cs="Arial"/>
        <w:bCs/>
        <w:sz w:val="20"/>
        <w:szCs w:val="20"/>
      </w:rPr>
      <w:t>[Insert web address here]</w:t>
    </w:r>
  </w:p>
  <w:p w14:paraId="21604064" w14:textId="77777777" w:rsidR="00582450" w:rsidRDefault="00582450" w:rsidP="008A7D29">
    <w:pPr>
      <w:pStyle w:val="Header"/>
      <w:shd w:val="clear" w:color="auto" w:fill="D9D9D9"/>
      <w:tabs>
        <w:tab w:val="clear" w:pos="4153"/>
        <w:tab w:val="clear" w:pos="8306"/>
        <w:tab w:val="left" w:pos="284"/>
      </w:tabs>
      <w:jc w:val="both"/>
      <w:rPr>
        <w:rFonts w:ascii="Arial" w:hAnsi="Arial" w:cs="Arial"/>
        <w:sz w:val="20"/>
        <w:szCs w:val="20"/>
      </w:rPr>
    </w:pPr>
  </w:p>
  <w:p w14:paraId="0492F0EF" w14:textId="77777777" w:rsidR="00582450" w:rsidRDefault="00582450" w:rsidP="008A7D29">
    <w:pPr>
      <w:pStyle w:val="Header"/>
      <w:shd w:val="clear" w:color="auto" w:fill="D9D9D9"/>
      <w:tabs>
        <w:tab w:val="clear" w:pos="4153"/>
        <w:tab w:val="clear" w:pos="8306"/>
        <w:tab w:val="left" w:pos="284"/>
      </w:tabs>
      <w:spacing w:line="360" w:lineRule="auto"/>
      <w:jc w:val="both"/>
      <w:rPr>
        <w:rFonts w:ascii="Arial" w:hAnsi="Arial" w:cs="Arial"/>
        <w:sz w:val="20"/>
        <w:szCs w:val="20"/>
      </w:rPr>
    </w:pPr>
    <w:r>
      <w:rPr>
        <w:rFonts w:ascii="Arial" w:hAnsi="Arial" w:cs="Arial"/>
        <w:sz w:val="20"/>
        <w:szCs w:val="20"/>
      </w:rPr>
      <w:tab/>
      <w:t>[Insert a line about your business here]</w:t>
    </w:r>
  </w:p>
  <w:p w14:paraId="1431A192" w14:textId="77777777" w:rsidR="00582450" w:rsidRDefault="00582450" w:rsidP="001B6823">
    <w:pPr>
      <w:pStyle w:val="Header"/>
      <w:tabs>
        <w:tab w:val="clear" w:pos="4153"/>
        <w:tab w:val="clear" w:pos="8306"/>
        <w:tab w:val="left" w:pos="284"/>
      </w:tabs>
      <w:jc w:val="both"/>
      <w:rPr>
        <w:rFonts w:ascii="Arial" w:hAnsi="Arial" w:cs="Arial"/>
        <w:i/>
        <w:color w:val="808080"/>
        <w:sz w:val="18"/>
        <w:szCs w:val="18"/>
      </w:rPr>
    </w:pPr>
  </w:p>
  <w:p w14:paraId="4F101FFA" w14:textId="77777777" w:rsidR="00582450" w:rsidRPr="00826DC4" w:rsidRDefault="00582450" w:rsidP="00B16876">
    <w:pPr>
      <w:pStyle w:val="Header"/>
      <w:tabs>
        <w:tab w:val="clear" w:pos="4153"/>
        <w:tab w:val="clear" w:pos="8306"/>
        <w:tab w:val="left" w:pos="284"/>
      </w:tabs>
      <w:jc w:val="both"/>
      <w:rPr>
        <w:rFonts w:ascii="Arial" w:hAnsi="Arial" w:cs="Arial"/>
        <w:i/>
        <w:color w:val="7F7F7F"/>
        <w:sz w:val="15"/>
        <w:szCs w:val="15"/>
      </w:rPr>
    </w:pPr>
    <w:r w:rsidRPr="00826DC4">
      <w:rPr>
        <w:rFonts w:ascii="Arial" w:hAnsi="Arial" w:cs="Arial"/>
        <w:i/>
        <w:color w:val="7F7F7F"/>
        <w:sz w:val="15"/>
        <w:szCs w:val="15"/>
      </w:rPr>
      <w:tab/>
      <w:t xml:space="preserve">Edit the above information by clicking directly within the grey panel, or by clicking ‘View’ in the main toolbar and selecting ‘Header and </w:t>
    </w:r>
    <w:proofErr w:type="gramStart"/>
    <w:r w:rsidRPr="00826DC4">
      <w:rPr>
        <w:rFonts w:ascii="Arial" w:hAnsi="Arial" w:cs="Arial"/>
        <w:i/>
        <w:color w:val="7F7F7F"/>
        <w:sz w:val="15"/>
        <w:szCs w:val="15"/>
      </w:rPr>
      <w:t>Footer’</w:t>
    </w:r>
    <w:proofErr w:type="gramEnd"/>
  </w:p>
  <w:p w14:paraId="38A78DAA" w14:textId="77777777" w:rsidR="00582450" w:rsidRPr="001A3DC3" w:rsidRDefault="00582450" w:rsidP="001B6823">
    <w:pPr>
      <w:pStyle w:val="Header"/>
      <w:jc w:val="both"/>
      <w:rPr>
        <w:rFonts w:ascii="Arial" w:hAnsi="Arial" w:cs="Arial"/>
        <w:b/>
        <w:bCs/>
        <w:color w:val="808080"/>
        <w:sz w:val="18"/>
        <w:szCs w:val="18"/>
      </w:rPr>
    </w:pPr>
  </w:p>
  <w:p w14:paraId="0EF2966A" w14:textId="77777777" w:rsidR="00582450" w:rsidRPr="00A810D9" w:rsidRDefault="00582450" w:rsidP="001B6823">
    <w:pPr>
      <w:pStyle w:val="Header"/>
      <w:rPr>
        <w:szCs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81F8D"/>
    <w:multiLevelType w:val="hybridMultilevel"/>
    <w:tmpl w:val="4618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47878"/>
    <w:multiLevelType w:val="hybridMultilevel"/>
    <w:tmpl w:val="E4C4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346242">
    <w:abstractNumId w:val="0"/>
  </w:num>
  <w:num w:numId="2" w16cid:durableId="51014549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192"/>
    <w:rsid w:val="00006449"/>
    <w:rsid w:val="00007AE1"/>
    <w:rsid w:val="00007EA1"/>
    <w:rsid w:val="00007EA3"/>
    <w:rsid w:val="00010DA1"/>
    <w:rsid w:val="00011A69"/>
    <w:rsid w:val="00014EE4"/>
    <w:rsid w:val="000166E6"/>
    <w:rsid w:val="00017143"/>
    <w:rsid w:val="00017F24"/>
    <w:rsid w:val="00020C9A"/>
    <w:rsid w:val="00022BCA"/>
    <w:rsid w:val="00022C30"/>
    <w:rsid w:val="00022CEE"/>
    <w:rsid w:val="00023486"/>
    <w:rsid w:val="000242BC"/>
    <w:rsid w:val="00024F49"/>
    <w:rsid w:val="00025A47"/>
    <w:rsid w:val="00027568"/>
    <w:rsid w:val="00031A0E"/>
    <w:rsid w:val="00037CC1"/>
    <w:rsid w:val="000459A6"/>
    <w:rsid w:val="0005013F"/>
    <w:rsid w:val="00050D76"/>
    <w:rsid w:val="00054AFE"/>
    <w:rsid w:val="00054F2F"/>
    <w:rsid w:val="000554CF"/>
    <w:rsid w:val="00057526"/>
    <w:rsid w:val="00057961"/>
    <w:rsid w:val="00060939"/>
    <w:rsid w:val="00061073"/>
    <w:rsid w:val="000632CE"/>
    <w:rsid w:val="00064308"/>
    <w:rsid w:val="00067CFA"/>
    <w:rsid w:val="000702EB"/>
    <w:rsid w:val="0007192B"/>
    <w:rsid w:val="0007342C"/>
    <w:rsid w:val="00074DF0"/>
    <w:rsid w:val="00085CB0"/>
    <w:rsid w:val="00085EE6"/>
    <w:rsid w:val="000867B6"/>
    <w:rsid w:val="0009000F"/>
    <w:rsid w:val="00090584"/>
    <w:rsid w:val="00091952"/>
    <w:rsid w:val="00093F34"/>
    <w:rsid w:val="0009444A"/>
    <w:rsid w:val="00094E92"/>
    <w:rsid w:val="00095B10"/>
    <w:rsid w:val="00096DB3"/>
    <w:rsid w:val="000A242A"/>
    <w:rsid w:val="000A2BEE"/>
    <w:rsid w:val="000A3CD2"/>
    <w:rsid w:val="000B4ED9"/>
    <w:rsid w:val="000C0C11"/>
    <w:rsid w:val="000C10D5"/>
    <w:rsid w:val="000C11F5"/>
    <w:rsid w:val="000C3BB8"/>
    <w:rsid w:val="000C53E8"/>
    <w:rsid w:val="000C7686"/>
    <w:rsid w:val="000D47E9"/>
    <w:rsid w:val="000D4CD3"/>
    <w:rsid w:val="000D620D"/>
    <w:rsid w:val="000D68A9"/>
    <w:rsid w:val="000E277C"/>
    <w:rsid w:val="000E5949"/>
    <w:rsid w:val="000F0718"/>
    <w:rsid w:val="000F1453"/>
    <w:rsid w:val="000F229A"/>
    <w:rsid w:val="000F24F7"/>
    <w:rsid w:val="000F3474"/>
    <w:rsid w:val="0010183E"/>
    <w:rsid w:val="001027C3"/>
    <w:rsid w:val="00106927"/>
    <w:rsid w:val="001078BA"/>
    <w:rsid w:val="001139A8"/>
    <w:rsid w:val="00120189"/>
    <w:rsid w:val="00122B20"/>
    <w:rsid w:val="001231CD"/>
    <w:rsid w:val="0012348F"/>
    <w:rsid w:val="001279D9"/>
    <w:rsid w:val="0013603B"/>
    <w:rsid w:val="00137EE6"/>
    <w:rsid w:val="0014437D"/>
    <w:rsid w:val="0015318A"/>
    <w:rsid w:val="00154558"/>
    <w:rsid w:val="00155A8B"/>
    <w:rsid w:val="00162060"/>
    <w:rsid w:val="00162223"/>
    <w:rsid w:val="0016225D"/>
    <w:rsid w:val="001644E4"/>
    <w:rsid w:val="00166863"/>
    <w:rsid w:val="00170154"/>
    <w:rsid w:val="001731AA"/>
    <w:rsid w:val="00173FBE"/>
    <w:rsid w:val="00174D61"/>
    <w:rsid w:val="00175B52"/>
    <w:rsid w:val="001821EC"/>
    <w:rsid w:val="00186D41"/>
    <w:rsid w:val="001874FC"/>
    <w:rsid w:val="00194B7E"/>
    <w:rsid w:val="00195EDC"/>
    <w:rsid w:val="00197F05"/>
    <w:rsid w:val="001A030F"/>
    <w:rsid w:val="001A0EEB"/>
    <w:rsid w:val="001A14CD"/>
    <w:rsid w:val="001A1A85"/>
    <w:rsid w:val="001A1CA6"/>
    <w:rsid w:val="001A3DC3"/>
    <w:rsid w:val="001A6025"/>
    <w:rsid w:val="001B0198"/>
    <w:rsid w:val="001B4ABB"/>
    <w:rsid w:val="001B4AED"/>
    <w:rsid w:val="001B61BC"/>
    <w:rsid w:val="001B61EE"/>
    <w:rsid w:val="001B65B2"/>
    <w:rsid w:val="001B6823"/>
    <w:rsid w:val="001B6BD6"/>
    <w:rsid w:val="001C2414"/>
    <w:rsid w:val="001C2660"/>
    <w:rsid w:val="001C2807"/>
    <w:rsid w:val="001C6D3B"/>
    <w:rsid w:val="001C7011"/>
    <w:rsid w:val="001D075C"/>
    <w:rsid w:val="001D26CC"/>
    <w:rsid w:val="001D31AA"/>
    <w:rsid w:val="001D3560"/>
    <w:rsid w:val="001D3D13"/>
    <w:rsid w:val="001D7A5F"/>
    <w:rsid w:val="001D7F21"/>
    <w:rsid w:val="001E399C"/>
    <w:rsid w:val="001F1AAF"/>
    <w:rsid w:val="001F2E2E"/>
    <w:rsid w:val="001F408A"/>
    <w:rsid w:val="001F4E1B"/>
    <w:rsid w:val="001F73EF"/>
    <w:rsid w:val="002014B1"/>
    <w:rsid w:val="00202C60"/>
    <w:rsid w:val="002031C7"/>
    <w:rsid w:val="002065E0"/>
    <w:rsid w:val="00211A04"/>
    <w:rsid w:val="00212307"/>
    <w:rsid w:val="002141B3"/>
    <w:rsid w:val="00214730"/>
    <w:rsid w:val="0021578B"/>
    <w:rsid w:val="00216A34"/>
    <w:rsid w:val="002202A1"/>
    <w:rsid w:val="00230507"/>
    <w:rsid w:val="0024054B"/>
    <w:rsid w:val="002406B0"/>
    <w:rsid w:val="00241606"/>
    <w:rsid w:val="002418B2"/>
    <w:rsid w:val="00242A37"/>
    <w:rsid w:val="00246761"/>
    <w:rsid w:val="00250C15"/>
    <w:rsid w:val="002548D9"/>
    <w:rsid w:val="002555B6"/>
    <w:rsid w:val="00257D90"/>
    <w:rsid w:val="00261DE8"/>
    <w:rsid w:val="002638F1"/>
    <w:rsid w:val="00270F7F"/>
    <w:rsid w:val="002711E8"/>
    <w:rsid w:val="00273234"/>
    <w:rsid w:val="00273251"/>
    <w:rsid w:val="00274FE0"/>
    <w:rsid w:val="00277788"/>
    <w:rsid w:val="00282979"/>
    <w:rsid w:val="0028326A"/>
    <w:rsid w:val="00284D9C"/>
    <w:rsid w:val="00285CE9"/>
    <w:rsid w:val="00290CD2"/>
    <w:rsid w:val="00291383"/>
    <w:rsid w:val="002925F3"/>
    <w:rsid w:val="00294A7C"/>
    <w:rsid w:val="00294BDE"/>
    <w:rsid w:val="00295679"/>
    <w:rsid w:val="00295B84"/>
    <w:rsid w:val="00295CB8"/>
    <w:rsid w:val="002A13BE"/>
    <w:rsid w:val="002A1B4C"/>
    <w:rsid w:val="002A7A4F"/>
    <w:rsid w:val="002B15A0"/>
    <w:rsid w:val="002B3CEB"/>
    <w:rsid w:val="002B3CEF"/>
    <w:rsid w:val="002B5881"/>
    <w:rsid w:val="002B7051"/>
    <w:rsid w:val="002B7CD6"/>
    <w:rsid w:val="002C3D74"/>
    <w:rsid w:val="002D0D26"/>
    <w:rsid w:val="002D1E66"/>
    <w:rsid w:val="002D2A6B"/>
    <w:rsid w:val="002D5CD9"/>
    <w:rsid w:val="002D5DED"/>
    <w:rsid w:val="002D7602"/>
    <w:rsid w:val="002D7E5A"/>
    <w:rsid w:val="002E0497"/>
    <w:rsid w:val="002E0D4D"/>
    <w:rsid w:val="002E10AD"/>
    <w:rsid w:val="002E1B55"/>
    <w:rsid w:val="002E35CA"/>
    <w:rsid w:val="002E47D4"/>
    <w:rsid w:val="002E4EAF"/>
    <w:rsid w:val="002E5807"/>
    <w:rsid w:val="002E634A"/>
    <w:rsid w:val="002F23E5"/>
    <w:rsid w:val="002F2E6B"/>
    <w:rsid w:val="002F5B4E"/>
    <w:rsid w:val="00300A2A"/>
    <w:rsid w:val="003023D5"/>
    <w:rsid w:val="00305411"/>
    <w:rsid w:val="00307FAC"/>
    <w:rsid w:val="00311523"/>
    <w:rsid w:val="00320127"/>
    <w:rsid w:val="003232C5"/>
    <w:rsid w:val="00323A7B"/>
    <w:rsid w:val="0032427B"/>
    <w:rsid w:val="00324305"/>
    <w:rsid w:val="00324D12"/>
    <w:rsid w:val="00324EA6"/>
    <w:rsid w:val="00326F7D"/>
    <w:rsid w:val="00327DF2"/>
    <w:rsid w:val="0033029D"/>
    <w:rsid w:val="00332CC0"/>
    <w:rsid w:val="00334795"/>
    <w:rsid w:val="00334F7F"/>
    <w:rsid w:val="00336CF3"/>
    <w:rsid w:val="00337C04"/>
    <w:rsid w:val="003422BD"/>
    <w:rsid w:val="0034448E"/>
    <w:rsid w:val="00346DBE"/>
    <w:rsid w:val="003509D0"/>
    <w:rsid w:val="00350EFC"/>
    <w:rsid w:val="00351B17"/>
    <w:rsid w:val="003546AC"/>
    <w:rsid w:val="00357C4B"/>
    <w:rsid w:val="003762D6"/>
    <w:rsid w:val="00377F50"/>
    <w:rsid w:val="00381251"/>
    <w:rsid w:val="00382CE0"/>
    <w:rsid w:val="00384B8B"/>
    <w:rsid w:val="003925CA"/>
    <w:rsid w:val="00397660"/>
    <w:rsid w:val="003A0A26"/>
    <w:rsid w:val="003A1FD5"/>
    <w:rsid w:val="003A32DB"/>
    <w:rsid w:val="003A4F8A"/>
    <w:rsid w:val="003A6D2F"/>
    <w:rsid w:val="003C4412"/>
    <w:rsid w:val="003C4E7A"/>
    <w:rsid w:val="003C5A3A"/>
    <w:rsid w:val="003C76A9"/>
    <w:rsid w:val="003C77C0"/>
    <w:rsid w:val="003C7AAC"/>
    <w:rsid w:val="003D0D2E"/>
    <w:rsid w:val="003D11E9"/>
    <w:rsid w:val="003D255E"/>
    <w:rsid w:val="003D345E"/>
    <w:rsid w:val="003D4DB0"/>
    <w:rsid w:val="003D6C6C"/>
    <w:rsid w:val="003D6F28"/>
    <w:rsid w:val="003D7A8A"/>
    <w:rsid w:val="003E12E4"/>
    <w:rsid w:val="003E15DD"/>
    <w:rsid w:val="003E645A"/>
    <w:rsid w:val="003E7359"/>
    <w:rsid w:val="003E7CCA"/>
    <w:rsid w:val="003F1957"/>
    <w:rsid w:val="003F2BA9"/>
    <w:rsid w:val="003F5FCD"/>
    <w:rsid w:val="00401E0A"/>
    <w:rsid w:val="004037D2"/>
    <w:rsid w:val="004070CD"/>
    <w:rsid w:val="00412ECA"/>
    <w:rsid w:val="004160E1"/>
    <w:rsid w:val="0041756D"/>
    <w:rsid w:val="00422C42"/>
    <w:rsid w:val="004243F1"/>
    <w:rsid w:val="00425ED1"/>
    <w:rsid w:val="004261C3"/>
    <w:rsid w:val="0042713A"/>
    <w:rsid w:val="00431D69"/>
    <w:rsid w:val="0043310F"/>
    <w:rsid w:val="00434DC2"/>
    <w:rsid w:val="00444D6A"/>
    <w:rsid w:val="00445141"/>
    <w:rsid w:val="00446786"/>
    <w:rsid w:val="004510B3"/>
    <w:rsid w:val="00451AFD"/>
    <w:rsid w:val="00453897"/>
    <w:rsid w:val="00455320"/>
    <w:rsid w:val="004600FC"/>
    <w:rsid w:val="004668A8"/>
    <w:rsid w:val="0047420C"/>
    <w:rsid w:val="00476751"/>
    <w:rsid w:val="00476A38"/>
    <w:rsid w:val="0048099E"/>
    <w:rsid w:val="00481567"/>
    <w:rsid w:val="004834A7"/>
    <w:rsid w:val="004845D4"/>
    <w:rsid w:val="0048489A"/>
    <w:rsid w:val="00484C90"/>
    <w:rsid w:val="004862AD"/>
    <w:rsid w:val="00490B2C"/>
    <w:rsid w:val="00493CC9"/>
    <w:rsid w:val="004948D0"/>
    <w:rsid w:val="00494C81"/>
    <w:rsid w:val="00497BC2"/>
    <w:rsid w:val="00497F95"/>
    <w:rsid w:val="004A44EC"/>
    <w:rsid w:val="004A51B3"/>
    <w:rsid w:val="004B1606"/>
    <w:rsid w:val="004B1781"/>
    <w:rsid w:val="004B1FC0"/>
    <w:rsid w:val="004B2AA0"/>
    <w:rsid w:val="004B31B3"/>
    <w:rsid w:val="004C132D"/>
    <w:rsid w:val="004C55D0"/>
    <w:rsid w:val="004C5654"/>
    <w:rsid w:val="004C5EC4"/>
    <w:rsid w:val="004C708A"/>
    <w:rsid w:val="004C7138"/>
    <w:rsid w:val="004C774B"/>
    <w:rsid w:val="004D1BA9"/>
    <w:rsid w:val="004D4905"/>
    <w:rsid w:val="004E1C1F"/>
    <w:rsid w:val="004E3064"/>
    <w:rsid w:val="004E30BF"/>
    <w:rsid w:val="004E53C7"/>
    <w:rsid w:val="004E53D5"/>
    <w:rsid w:val="004E581E"/>
    <w:rsid w:val="004E58B4"/>
    <w:rsid w:val="004E7974"/>
    <w:rsid w:val="004F1477"/>
    <w:rsid w:val="004F28EF"/>
    <w:rsid w:val="004F4C6F"/>
    <w:rsid w:val="004F556C"/>
    <w:rsid w:val="004F578A"/>
    <w:rsid w:val="004F6E4A"/>
    <w:rsid w:val="004F7482"/>
    <w:rsid w:val="00501335"/>
    <w:rsid w:val="00501D9C"/>
    <w:rsid w:val="005026BA"/>
    <w:rsid w:val="005047D0"/>
    <w:rsid w:val="00505C17"/>
    <w:rsid w:val="00514A47"/>
    <w:rsid w:val="005150B4"/>
    <w:rsid w:val="00516623"/>
    <w:rsid w:val="00517B03"/>
    <w:rsid w:val="005204C4"/>
    <w:rsid w:val="00522359"/>
    <w:rsid w:val="005223CB"/>
    <w:rsid w:val="00522892"/>
    <w:rsid w:val="005344A1"/>
    <w:rsid w:val="00534B4A"/>
    <w:rsid w:val="005359F8"/>
    <w:rsid w:val="0053755B"/>
    <w:rsid w:val="00541049"/>
    <w:rsid w:val="005439B6"/>
    <w:rsid w:val="00543C12"/>
    <w:rsid w:val="0054554E"/>
    <w:rsid w:val="00547480"/>
    <w:rsid w:val="00552B71"/>
    <w:rsid w:val="005537FD"/>
    <w:rsid w:val="00553C37"/>
    <w:rsid w:val="00554C98"/>
    <w:rsid w:val="00556051"/>
    <w:rsid w:val="0056030A"/>
    <w:rsid w:val="00562C10"/>
    <w:rsid w:val="0056318B"/>
    <w:rsid w:val="00563A52"/>
    <w:rsid w:val="00563B78"/>
    <w:rsid w:val="00566616"/>
    <w:rsid w:val="005672C4"/>
    <w:rsid w:val="00573358"/>
    <w:rsid w:val="0057416B"/>
    <w:rsid w:val="00574855"/>
    <w:rsid w:val="005749D1"/>
    <w:rsid w:val="005772B0"/>
    <w:rsid w:val="005774E7"/>
    <w:rsid w:val="00580C4F"/>
    <w:rsid w:val="00582450"/>
    <w:rsid w:val="00582C3A"/>
    <w:rsid w:val="005833A9"/>
    <w:rsid w:val="00583DB3"/>
    <w:rsid w:val="0058400C"/>
    <w:rsid w:val="00585136"/>
    <w:rsid w:val="00585D81"/>
    <w:rsid w:val="00585FD5"/>
    <w:rsid w:val="00586FB2"/>
    <w:rsid w:val="00587819"/>
    <w:rsid w:val="005909CE"/>
    <w:rsid w:val="005951B0"/>
    <w:rsid w:val="005B65DA"/>
    <w:rsid w:val="005B7B8F"/>
    <w:rsid w:val="005C2BD5"/>
    <w:rsid w:val="005C689F"/>
    <w:rsid w:val="005C69E7"/>
    <w:rsid w:val="005D335B"/>
    <w:rsid w:val="005D455D"/>
    <w:rsid w:val="005D4CE7"/>
    <w:rsid w:val="005D5844"/>
    <w:rsid w:val="005E5F9C"/>
    <w:rsid w:val="005E7F6F"/>
    <w:rsid w:val="005F06F8"/>
    <w:rsid w:val="005F33CB"/>
    <w:rsid w:val="0060140A"/>
    <w:rsid w:val="006019BC"/>
    <w:rsid w:val="00602074"/>
    <w:rsid w:val="00604CE7"/>
    <w:rsid w:val="00604E4A"/>
    <w:rsid w:val="00604FE2"/>
    <w:rsid w:val="00610228"/>
    <w:rsid w:val="0061065D"/>
    <w:rsid w:val="00610B24"/>
    <w:rsid w:val="0061195A"/>
    <w:rsid w:val="00616C66"/>
    <w:rsid w:val="0062120D"/>
    <w:rsid w:val="00621AFA"/>
    <w:rsid w:val="006229C3"/>
    <w:rsid w:val="00626D31"/>
    <w:rsid w:val="00627F76"/>
    <w:rsid w:val="006316FC"/>
    <w:rsid w:val="00632128"/>
    <w:rsid w:val="00642E9C"/>
    <w:rsid w:val="00643FFE"/>
    <w:rsid w:val="00644F3A"/>
    <w:rsid w:val="006474DD"/>
    <w:rsid w:val="006501DA"/>
    <w:rsid w:val="0065043F"/>
    <w:rsid w:val="006504D2"/>
    <w:rsid w:val="00651B8F"/>
    <w:rsid w:val="00652287"/>
    <w:rsid w:val="00652DAC"/>
    <w:rsid w:val="00653D8C"/>
    <w:rsid w:val="00656202"/>
    <w:rsid w:val="00656A8D"/>
    <w:rsid w:val="0065704D"/>
    <w:rsid w:val="006659DC"/>
    <w:rsid w:val="00667292"/>
    <w:rsid w:val="0066754F"/>
    <w:rsid w:val="0067284A"/>
    <w:rsid w:val="00672F41"/>
    <w:rsid w:val="00673DCC"/>
    <w:rsid w:val="00675645"/>
    <w:rsid w:val="00677712"/>
    <w:rsid w:val="0068146F"/>
    <w:rsid w:val="0068273D"/>
    <w:rsid w:val="00682BBF"/>
    <w:rsid w:val="00686BEC"/>
    <w:rsid w:val="006879ED"/>
    <w:rsid w:val="006919F3"/>
    <w:rsid w:val="00693FCC"/>
    <w:rsid w:val="00694103"/>
    <w:rsid w:val="00694815"/>
    <w:rsid w:val="00696368"/>
    <w:rsid w:val="00696392"/>
    <w:rsid w:val="006A1BC5"/>
    <w:rsid w:val="006A1F59"/>
    <w:rsid w:val="006A24CB"/>
    <w:rsid w:val="006A3392"/>
    <w:rsid w:val="006A4D02"/>
    <w:rsid w:val="006A5F47"/>
    <w:rsid w:val="006A6EA6"/>
    <w:rsid w:val="006B36E0"/>
    <w:rsid w:val="006B57D6"/>
    <w:rsid w:val="006B6FE8"/>
    <w:rsid w:val="006C37DD"/>
    <w:rsid w:val="006C6E2A"/>
    <w:rsid w:val="006C6FC3"/>
    <w:rsid w:val="006C7A43"/>
    <w:rsid w:val="006D01D6"/>
    <w:rsid w:val="006D25AE"/>
    <w:rsid w:val="006D2DD0"/>
    <w:rsid w:val="006D4580"/>
    <w:rsid w:val="006D70FF"/>
    <w:rsid w:val="006E0EB6"/>
    <w:rsid w:val="006E11F4"/>
    <w:rsid w:val="006E16AF"/>
    <w:rsid w:val="006E3A42"/>
    <w:rsid w:val="006E3CAE"/>
    <w:rsid w:val="006E5EC9"/>
    <w:rsid w:val="006F0EDF"/>
    <w:rsid w:val="006F2E5F"/>
    <w:rsid w:val="006F32FE"/>
    <w:rsid w:val="006F5AF3"/>
    <w:rsid w:val="006F7583"/>
    <w:rsid w:val="006F798E"/>
    <w:rsid w:val="006F7DA7"/>
    <w:rsid w:val="00705E4B"/>
    <w:rsid w:val="007119DF"/>
    <w:rsid w:val="0071799D"/>
    <w:rsid w:val="00721113"/>
    <w:rsid w:val="0072172A"/>
    <w:rsid w:val="00722C4A"/>
    <w:rsid w:val="00724174"/>
    <w:rsid w:val="00724AE1"/>
    <w:rsid w:val="00724E07"/>
    <w:rsid w:val="00725EC9"/>
    <w:rsid w:val="00732EBD"/>
    <w:rsid w:val="00736A6C"/>
    <w:rsid w:val="0073722F"/>
    <w:rsid w:val="007379C6"/>
    <w:rsid w:val="00740C51"/>
    <w:rsid w:val="007411C7"/>
    <w:rsid w:val="007423C1"/>
    <w:rsid w:val="00742988"/>
    <w:rsid w:val="007431A1"/>
    <w:rsid w:val="00744DBF"/>
    <w:rsid w:val="007462B2"/>
    <w:rsid w:val="007465E1"/>
    <w:rsid w:val="007478EE"/>
    <w:rsid w:val="007501C0"/>
    <w:rsid w:val="00752C54"/>
    <w:rsid w:val="007544AF"/>
    <w:rsid w:val="007628FA"/>
    <w:rsid w:val="00762FC2"/>
    <w:rsid w:val="007659F5"/>
    <w:rsid w:val="00770E2D"/>
    <w:rsid w:val="00773E66"/>
    <w:rsid w:val="00774619"/>
    <w:rsid w:val="00780825"/>
    <w:rsid w:val="00781F33"/>
    <w:rsid w:val="00782AA3"/>
    <w:rsid w:val="00784CB7"/>
    <w:rsid w:val="007855DE"/>
    <w:rsid w:val="00786044"/>
    <w:rsid w:val="0078796E"/>
    <w:rsid w:val="00791B9B"/>
    <w:rsid w:val="007928DC"/>
    <w:rsid w:val="00795C69"/>
    <w:rsid w:val="00795C6C"/>
    <w:rsid w:val="00796B1F"/>
    <w:rsid w:val="007A2223"/>
    <w:rsid w:val="007B2560"/>
    <w:rsid w:val="007B2E07"/>
    <w:rsid w:val="007B3D6B"/>
    <w:rsid w:val="007B4F3C"/>
    <w:rsid w:val="007B529A"/>
    <w:rsid w:val="007B5314"/>
    <w:rsid w:val="007B5D94"/>
    <w:rsid w:val="007C160C"/>
    <w:rsid w:val="007C1685"/>
    <w:rsid w:val="007C2D93"/>
    <w:rsid w:val="007C57D5"/>
    <w:rsid w:val="007C58A6"/>
    <w:rsid w:val="007C6253"/>
    <w:rsid w:val="007C632E"/>
    <w:rsid w:val="007C7D6F"/>
    <w:rsid w:val="007D2ACC"/>
    <w:rsid w:val="007D5904"/>
    <w:rsid w:val="007E4E94"/>
    <w:rsid w:val="007E793A"/>
    <w:rsid w:val="007F014E"/>
    <w:rsid w:val="007F5CCF"/>
    <w:rsid w:val="00801134"/>
    <w:rsid w:val="00805AEA"/>
    <w:rsid w:val="00806AAA"/>
    <w:rsid w:val="008115B8"/>
    <w:rsid w:val="00814E67"/>
    <w:rsid w:val="00820C3B"/>
    <w:rsid w:val="00820E99"/>
    <w:rsid w:val="00826320"/>
    <w:rsid w:val="00826DC4"/>
    <w:rsid w:val="0083290C"/>
    <w:rsid w:val="00833E40"/>
    <w:rsid w:val="00835ABB"/>
    <w:rsid w:val="00841552"/>
    <w:rsid w:val="008420C0"/>
    <w:rsid w:val="00845527"/>
    <w:rsid w:val="00845C59"/>
    <w:rsid w:val="00850365"/>
    <w:rsid w:val="008517A6"/>
    <w:rsid w:val="00852B00"/>
    <w:rsid w:val="00853C8C"/>
    <w:rsid w:val="00860C99"/>
    <w:rsid w:val="00862004"/>
    <w:rsid w:val="00862477"/>
    <w:rsid w:val="00867818"/>
    <w:rsid w:val="00871574"/>
    <w:rsid w:val="00872125"/>
    <w:rsid w:val="0087292D"/>
    <w:rsid w:val="008764E4"/>
    <w:rsid w:val="00876637"/>
    <w:rsid w:val="00880D1F"/>
    <w:rsid w:val="00881CA8"/>
    <w:rsid w:val="008824CB"/>
    <w:rsid w:val="008876E4"/>
    <w:rsid w:val="008902BC"/>
    <w:rsid w:val="0089038F"/>
    <w:rsid w:val="00892B85"/>
    <w:rsid w:val="00892DF6"/>
    <w:rsid w:val="008A1172"/>
    <w:rsid w:val="008A34E7"/>
    <w:rsid w:val="008A5B2E"/>
    <w:rsid w:val="008A6C25"/>
    <w:rsid w:val="008A7496"/>
    <w:rsid w:val="008A7577"/>
    <w:rsid w:val="008A7D29"/>
    <w:rsid w:val="008B0481"/>
    <w:rsid w:val="008B36A4"/>
    <w:rsid w:val="008B372E"/>
    <w:rsid w:val="008B3733"/>
    <w:rsid w:val="008B3F9A"/>
    <w:rsid w:val="008B52AF"/>
    <w:rsid w:val="008B5EEF"/>
    <w:rsid w:val="008C1219"/>
    <w:rsid w:val="008C5564"/>
    <w:rsid w:val="008C702C"/>
    <w:rsid w:val="008D1CAC"/>
    <w:rsid w:val="008E5B4A"/>
    <w:rsid w:val="008E7D6C"/>
    <w:rsid w:val="008F1CCA"/>
    <w:rsid w:val="008F1CF9"/>
    <w:rsid w:val="008F537A"/>
    <w:rsid w:val="00901C3F"/>
    <w:rsid w:val="009029E8"/>
    <w:rsid w:val="00902E80"/>
    <w:rsid w:val="00903ECC"/>
    <w:rsid w:val="00905D49"/>
    <w:rsid w:val="009118B9"/>
    <w:rsid w:val="009125EE"/>
    <w:rsid w:val="00914DF9"/>
    <w:rsid w:val="009201E5"/>
    <w:rsid w:val="00921FDF"/>
    <w:rsid w:val="009230AE"/>
    <w:rsid w:val="00925A06"/>
    <w:rsid w:val="00927AF9"/>
    <w:rsid w:val="00932D05"/>
    <w:rsid w:val="00933507"/>
    <w:rsid w:val="009359B6"/>
    <w:rsid w:val="009369B1"/>
    <w:rsid w:val="009408D2"/>
    <w:rsid w:val="00943B44"/>
    <w:rsid w:val="00944570"/>
    <w:rsid w:val="009502AE"/>
    <w:rsid w:val="00955165"/>
    <w:rsid w:val="009563E8"/>
    <w:rsid w:val="00960A5A"/>
    <w:rsid w:val="0096257E"/>
    <w:rsid w:val="009625C7"/>
    <w:rsid w:val="00967160"/>
    <w:rsid w:val="00975420"/>
    <w:rsid w:val="00975AB9"/>
    <w:rsid w:val="009761FF"/>
    <w:rsid w:val="0097688B"/>
    <w:rsid w:val="009777E8"/>
    <w:rsid w:val="00980DCD"/>
    <w:rsid w:val="0098230A"/>
    <w:rsid w:val="00983934"/>
    <w:rsid w:val="00993C4A"/>
    <w:rsid w:val="00993D99"/>
    <w:rsid w:val="00995209"/>
    <w:rsid w:val="00997068"/>
    <w:rsid w:val="009A1E05"/>
    <w:rsid w:val="009A40C0"/>
    <w:rsid w:val="009A7B4C"/>
    <w:rsid w:val="009B1478"/>
    <w:rsid w:val="009B2BFB"/>
    <w:rsid w:val="009B55A9"/>
    <w:rsid w:val="009B5FF5"/>
    <w:rsid w:val="009C1B46"/>
    <w:rsid w:val="009C1DD1"/>
    <w:rsid w:val="009C2BC6"/>
    <w:rsid w:val="009C2FB5"/>
    <w:rsid w:val="009C5F6B"/>
    <w:rsid w:val="009C6178"/>
    <w:rsid w:val="009D0D08"/>
    <w:rsid w:val="009D62F2"/>
    <w:rsid w:val="009D6487"/>
    <w:rsid w:val="009E1885"/>
    <w:rsid w:val="009E2283"/>
    <w:rsid w:val="009E3D22"/>
    <w:rsid w:val="009E4521"/>
    <w:rsid w:val="009E564F"/>
    <w:rsid w:val="009E5777"/>
    <w:rsid w:val="009F266F"/>
    <w:rsid w:val="009F2ABF"/>
    <w:rsid w:val="009F380D"/>
    <w:rsid w:val="00A01142"/>
    <w:rsid w:val="00A03AD6"/>
    <w:rsid w:val="00A05020"/>
    <w:rsid w:val="00A055BB"/>
    <w:rsid w:val="00A06213"/>
    <w:rsid w:val="00A07CD8"/>
    <w:rsid w:val="00A12916"/>
    <w:rsid w:val="00A1406C"/>
    <w:rsid w:val="00A1667E"/>
    <w:rsid w:val="00A2016F"/>
    <w:rsid w:val="00A21A48"/>
    <w:rsid w:val="00A23A29"/>
    <w:rsid w:val="00A244A0"/>
    <w:rsid w:val="00A2627B"/>
    <w:rsid w:val="00A27E68"/>
    <w:rsid w:val="00A3018E"/>
    <w:rsid w:val="00A34735"/>
    <w:rsid w:val="00A37FC5"/>
    <w:rsid w:val="00A43478"/>
    <w:rsid w:val="00A4433F"/>
    <w:rsid w:val="00A446C5"/>
    <w:rsid w:val="00A5302B"/>
    <w:rsid w:val="00A5378D"/>
    <w:rsid w:val="00A548BC"/>
    <w:rsid w:val="00A6004A"/>
    <w:rsid w:val="00A625DD"/>
    <w:rsid w:val="00A62B62"/>
    <w:rsid w:val="00A72B29"/>
    <w:rsid w:val="00A75D98"/>
    <w:rsid w:val="00A7725F"/>
    <w:rsid w:val="00A80D7B"/>
    <w:rsid w:val="00A810D9"/>
    <w:rsid w:val="00A81A37"/>
    <w:rsid w:val="00A83714"/>
    <w:rsid w:val="00A85685"/>
    <w:rsid w:val="00A85D11"/>
    <w:rsid w:val="00A85E8F"/>
    <w:rsid w:val="00A860B3"/>
    <w:rsid w:val="00A869BC"/>
    <w:rsid w:val="00A935C5"/>
    <w:rsid w:val="00A936EE"/>
    <w:rsid w:val="00A93730"/>
    <w:rsid w:val="00A93EC3"/>
    <w:rsid w:val="00A949DD"/>
    <w:rsid w:val="00A96611"/>
    <w:rsid w:val="00A977AF"/>
    <w:rsid w:val="00AA19CB"/>
    <w:rsid w:val="00AA19FD"/>
    <w:rsid w:val="00AA41BF"/>
    <w:rsid w:val="00AA4FA7"/>
    <w:rsid w:val="00AB611F"/>
    <w:rsid w:val="00AB71F8"/>
    <w:rsid w:val="00AB760C"/>
    <w:rsid w:val="00AC4B79"/>
    <w:rsid w:val="00AD0B6C"/>
    <w:rsid w:val="00AD11CC"/>
    <w:rsid w:val="00AD240F"/>
    <w:rsid w:val="00AD2A12"/>
    <w:rsid w:val="00AD321D"/>
    <w:rsid w:val="00AD56F3"/>
    <w:rsid w:val="00AD5CD1"/>
    <w:rsid w:val="00AD5DF2"/>
    <w:rsid w:val="00AD6A8C"/>
    <w:rsid w:val="00AD76FB"/>
    <w:rsid w:val="00AE4408"/>
    <w:rsid w:val="00AF076B"/>
    <w:rsid w:val="00AF195E"/>
    <w:rsid w:val="00AF3514"/>
    <w:rsid w:val="00AF3FCB"/>
    <w:rsid w:val="00AF44C6"/>
    <w:rsid w:val="00AF49A2"/>
    <w:rsid w:val="00AF53CA"/>
    <w:rsid w:val="00B00C40"/>
    <w:rsid w:val="00B0240B"/>
    <w:rsid w:val="00B03874"/>
    <w:rsid w:val="00B03D0F"/>
    <w:rsid w:val="00B06890"/>
    <w:rsid w:val="00B10ABD"/>
    <w:rsid w:val="00B11747"/>
    <w:rsid w:val="00B13408"/>
    <w:rsid w:val="00B15B1D"/>
    <w:rsid w:val="00B15BEC"/>
    <w:rsid w:val="00B1605D"/>
    <w:rsid w:val="00B16876"/>
    <w:rsid w:val="00B20A06"/>
    <w:rsid w:val="00B210BB"/>
    <w:rsid w:val="00B25E55"/>
    <w:rsid w:val="00B25EEF"/>
    <w:rsid w:val="00B327D7"/>
    <w:rsid w:val="00B32A8D"/>
    <w:rsid w:val="00B34671"/>
    <w:rsid w:val="00B35444"/>
    <w:rsid w:val="00B359B2"/>
    <w:rsid w:val="00B36669"/>
    <w:rsid w:val="00B36A52"/>
    <w:rsid w:val="00B375B7"/>
    <w:rsid w:val="00B41860"/>
    <w:rsid w:val="00B4229D"/>
    <w:rsid w:val="00B4348F"/>
    <w:rsid w:val="00B524BB"/>
    <w:rsid w:val="00B52CFA"/>
    <w:rsid w:val="00B5641A"/>
    <w:rsid w:val="00B61337"/>
    <w:rsid w:val="00B637A4"/>
    <w:rsid w:val="00B63D6B"/>
    <w:rsid w:val="00B63FE1"/>
    <w:rsid w:val="00B67D22"/>
    <w:rsid w:val="00B70B0D"/>
    <w:rsid w:val="00B74A63"/>
    <w:rsid w:val="00B75654"/>
    <w:rsid w:val="00B75AF4"/>
    <w:rsid w:val="00B75F59"/>
    <w:rsid w:val="00B75FA2"/>
    <w:rsid w:val="00B7644E"/>
    <w:rsid w:val="00B77349"/>
    <w:rsid w:val="00B814EC"/>
    <w:rsid w:val="00B8172D"/>
    <w:rsid w:val="00B81DE1"/>
    <w:rsid w:val="00B85302"/>
    <w:rsid w:val="00B9036C"/>
    <w:rsid w:val="00B947B7"/>
    <w:rsid w:val="00BA1987"/>
    <w:rsid w:val="00BA1BE8"/>
    <w:rsid w:val="00BA21B4"/>
    <w:rsid w:val="00BA4E2E"/>
    <w:rsid w:val="00BB2231"/>
    <w:rsid w:val="00BB30C4"/>
    <w:rsid w:val="00BB3126"/>
    <w:rsid w:val="00BB55F2"/>
    <w:rsid w:val="00BC1501"/>
    <w:rsid w:val="00BC4914"/>
    <w:rsid w:val="00BC5F89"/>
    <w:rsid w:val="00BD6460"/>
    <w:rsid w:val="00BD75B0"/>
    <w:rsid w:val="00BD79BA"/>
    <w:rsid w:val="00BE0A6E"/>
    <w:rsid w:val="00BE1845"/>
    <w:rsid w:val="00BE3462"/>
    <w:rsid w:val="00BF0B12"/>
    <w:rsid w:val="00BF4F8C"/>
    <w:rsid w:val="00C0045B"/>
    <w:rsid w:val="00C02878"/>
    <w:rsid w:val="00C029A7"/>
    <w:rsid w:val="00C14DAD"/>
    <w:rsid w:val="00C15DD7"/>
    <w:rsid w:val="00C16FD8"/>
    <w:rsid w:val="00C21C3B"/>
    <w:rsid w:val="00C22A44"/>
    <w:rsid w:val="00C278F3"/>
    <w:rsid w:val="00C306CD"/>
    <w:rsid w:val="00C30DCA"/>
    <w:rsid w:val="00C32192"/>
    <w:rsid w:val="00C35B05"/>
    <w:rsid w:val="00C40DB9"/>
    <w:rsid w:val="00C43080"/>
    <w:rsid w:val="00C4385B"/>
    <w:rsid w:val="00C44979"/>
    <w:rsid w:val="00C45602"/>
    <w:rsid w:val="00C54488"/>
    <w:rsid w:val="00C627C4"/>
    <w:rsid w:val="00C72760"/>
    <w:rsid w:val="00C7333E"/>
    <w:rsid w:val="00C737F2"/>
    <w:rsid w:val="00C73E1F"/>
    <w:rsid w:val="00C769FB"/>
    <w:rsid w:val="00C76A75"/>
    <w:rsid w:val="00C923A4"/>
    <w:rsid w:val="00C9412D"/>
    <w:rsid w:val="00C94476"/>
    <w:rsid w:val="00C95F23"/>
    <w:rsid w:val="00C965A1"/>
    <w:rsid w:val="00C97DD9"/>
    <w:rsid w:val="00CA119C"/>
    <w:rsid w:val="00CA37C7"/>
    <w:rsid w:val="00CA3F40"/>
    <w:rsid w:val="00CA4EE5"/>
    <w:rsid w:val="00CA7289"/>
    <w:rsid w:val="00CB2D55"/>
    <w:rsid w:val="00CB42A9"/>
    <w:rsid w:val="00CB68EB"/>
    <w:rsid w:val="00CB758B"/>
    <w:rsid w:val="00CC445A"/>
    <w:rsid w:val="00CC5497"/>
    <w:rsid w:val="00CC5FD5"/>
    <w:rsid w:val="00CC6F6C"/>
    <w:rsid w:val="00CD10E5"/>
    <w:rsid w:val="00CD6444"/>
    <w:rsid w:val="00CE14E4"/>
    <w:rsid w:val="00CE186D"/>
    <w:rsid w:val="00CE1BCE"/>
    <w:rsid w:val="00CE1EE1"/>
    <w:rsid w:val="00CE4FFD"/>
    <w:rsid w:val="00CE617F"/>
    <w:rsid w:val="00CE76DB"/>
    <w:rsid w:val="00CF01B7"/>
    <w:rsid w:val="00CF0B65"/>
    <w:rsid w:val="00CF20CF"/>
    <w:rsid w:val="00D06F31"/>
    <w:rsid w:val="00D10D08"/>
    <w:rsid w:val="00D11FBD"/>
    <w:rsid w:val="00D12101"/>
    <w:rsid w:val="00D122D1"/>
    <w:rsid w:val="00D157D2"/>
    <w:rsid w:val="00D16E33"/>
    <w:rsid w:val="00D17EEB"/>
    <w:rsid w:val="00D21829"/>
    <w:rsid w:val="00D2289F"/>
    <w:rsid w:val="00D24AAF"/>
    <w:rsid w:val="00D30E3D"/>
    <w:rsid w:val="00D3185F"/>
    <w:rsid w:val="00D31941"/>
    <w:rsid w:val="00D342BC"/>
    <w:rsid w:val="00D35298"/>
    <w:rsid w:val="00D36BCE"/>
    <w:rsid w:val="00D41EBD"/>
    <w:rsid w:val="00D46CBC"/>
    <w:rsid w:val="00D517A8"/>
    <w:rsid w:val="00D51F9A"/>
    <w:rsid w:val="00D545E9"/>
    <w:rsid w:val="00D56B5D"/>
    <w:rsid w:val="00D57E1C"/>
    <w:rsid w:val="00D632CC"/>
    <w:rsid w:val="00D64D0C"/>
    <w:rsid w:val="00D66222"/>
    <w:rsid w:val="00D677D7"/>
    <w:rsid w:val="00D72BD4"/>
    <w:rsid w:val="00D74FA6"/>
    <w:rsid w:val="00D84F5B"/>
    <w:rsid w:val="00D8518A"/>
    <w:rsid w:val="00D86684"/>
    <w:rsid w:val="00D9591E"/>
    <w:rsid w:val="00D974D6"/>
    <w:rsid w:val="00DA1DD0"/>
    <w:rsid w:val="00DA1EB0"/>
    <w:rsid w:val="00DA2C39"/>
    <w:rsid w:val="00DA54F1"/>
    <w:rsid w:val="00DA5E55"/>
    <w:rsid w:val="00DB1224"/>
    <w:rsid w:val="00DB2E56"/>
    <w:rsid w:val="00DB48AC"/>
    <w:rsid w:val="00DB5C09"/>
    <w:rsid w:val="00DB65F8"/>
    <w:rsid w:val="00DC3A78"/>
    <w:rsid w:val="00DC63C1"/>
    <w:rsid w:val="00DC7D0C"/>
    <w:rsid w:val="00DD25A5"/>
    <w:rsid w:val="00DD4CFE"/>
    <w:rsid w:val="00DD5942"/>
    <w:rsid w:val="00DD6818"/>
    <w:rsid w:val="00DE0295"/>
    <w:rsid w:val="00DE1FA1"/>
    <w:rsid w:val="00DE2153"/>
    <w:rsid w:val="00DE46F1"/>
    <w:rsid w:val="00DE6AF3"/>
    <w:rsid w:val="00DF2046"/>
    <w:rsid w:val="00DF31C0"/>
    <w:rsid w:val="00DF3215"/>
    <w:rsid w:val="00DF4CF2"/>
    <w:rsid w:val="00E0006F"/>
    <w:rsid w:val="00E03D39"/>
    <w:rsid w:val="00E04675"/>
    <w:rsid w:val="00E06FAB"/>
    <w:rsid w:val="00E0779E"/>
    <w:rsid w:val="00E11F80"/>
    <w:rsid w:val="00E131AD"/>
    <w:rsid w:val="00E145F5"/>
    <w:rsid w:val="00E14CF5"/>
    <w:rsid w:val="00E14DBF"/>
    <w:rsid w:val="00E20B7D"/>
    <w:rsid w:val="00E227A9"/>
    <w:rsid w:val="00E25681"/>
    <w:rsid w:val="00E262CF"/>
    <w:rsid w:val="00E276A0"/>
    <w:rsid w:val="00E27F90"/>
    <w:rsid w:val="00E3122A"/>
    <w:rsid w:val="00E40114"/>
    <w:rsid w:val="00E4032F"/>
    <w:rsid w:val="00E41AA5"/>
    <w:rsid w:val="00E444F6"/>
    <w:rsid w:val="00E4606F"/>
    <w:rsid w:val="00E46A45"/>
    <w:rsid w:val="00E47DF1"/>
    <w:rsid w:val="00E51E40"/>
    <w:rsid w:val="00E52DFB"/>
    <w:rsid w:val="00E5546E"/>
    <w:rsid w:val="00E5647A"/>
    <w:rsid w:val="00E56800"/>
    <w:rsid w:val="00E62049"/>
    <w:rsid w:val="00E66657"/>
    <w:rsid w:val="00E66E5F"/>
    <w:rsid w:val="00E6767D"/>
    <w:rsid w:val="00E67FBB"/>
    <w:rsid w:val="00E70D0D"/>
    <w:rsid w:val="00E75062"/>
    <w:rsid w:val="00E81588"/>
    <w:rsid w:val="00E82706"/>
    <w:rsid w:val="00E8517C"/>
    <w:rsid w:val="00E867F8"/>
    <w:rsid w:val="00E87DE3"/>
    <w:rsid w:val="00E9189D"/>
    <w:rsid w:val="00E928FE"/>
    <w:rsid w:val="00E94D4C"/>
    <w:rsid w:val="00EA68FC"/>
    <w:rsid w:val="00EB0899"/>
    <w:rsid w:val="00EB2B52"/>
    <w:rsid w:val="00EB4DCF"/>
    <w:rsid w:val="00EB6CE6"/>
    <w:rsid w:val="00EC3457"/>
    <w:rsid w:val="00EC6C30"/>
    <w:rsid w:val="00ED0C53"/>
    <w:rsid w:val="00ED3FDC"/>
    <w:rsid w:val="00ED5F58"/>
    <w:rsid w:val="00ED685E"/>
    <w:rsid w:val="00EE3FFD"/>
    <w:rsid w:val="00EE7A59"/>
    <w:rsid w:val="00EF3316"/>
    <w:rsid w:val="00F032FC"/>
    <w:rsid w:val="00F03786"/>
    <w:rsid w:val="00F042D6"/>
    <w:rsid w:val="00F04F8D"/>
    <w:rsid w:val="00F05DB2"/>
    <w:rsid w:val="00F20369"/>
    <w:rsid w:val="00F2181C"/>
    <w:rsid w:val="00F23069"/>
    <w:rsid w:val="00F26D59"/>
    <w:rsid w:val="00F31BDE"/>
    <w:rsid w:val="00F372B6"/>
    <w:rsid w:val="00F404B3"/>
    <w:rsid w:val="00F408AA"/>
    <w:rsid w:val="00F4279A"/>
    <w:rsid w:val="00F431CF"/>
    <w:rsid w:val="00F45166"/>
    <w:rsid w:val="00F45FDC"/>
    <w:rsid w:val="00F703FB"/>
    <w:rsid w:val="00F70724"/>
    <w:rsid w:val="00F73CAA"/>
    <w:rsid w:val="00F74CC1"/>
    <w:rsid w:val="00F7510D"/>
    <w:rsid w:val="00F77FF3"/>
    <w:rsid w:val="00F82120"/>
    <w:rsid w:val="00F8453F"/>
    <w:rsid w:val="00F92823"/>
    <w:rsid w:val="00F9282E"/>
    <w:rsid w:val="00F9360F"/>
    <w:rsid w:val="00F93C76"/>
    <w:rsid w:val="00F945C6"/>
    <w:rsid w:val="00F961F3"/>
    <w:rsid w:val="00F97D24"/>
    <w:rsid w:val="00FA001F"/>
    <w:rsid w:val="00FA09FF"/>
    <w:rsid w:val="00FA1B37"/>
    <w:rsid w:val="00FA4623"/>
    <w:rsid w:val="00FA50E0"/>
    <w:rsid w:val="00FA576A"/>
    <w:rsid w:val="00FA7D5D"/>
    <w:rsid w:val="00FB07CD"/>
    <w:rsid w:val="00FB10AA"/>
    <w:rsid w:val="00FB12E4"/>
    <w:rsid w:val="00FB42C1"/>
    <w:rsid w:val="00FB473D"/>
    <w:rsid w:val="00FC077F"/>
    <w:rsid w:val="00FC084B"/>
    <w:rsid w:val="00FC1977"/>
    <w:rsid w:val="00FC1EAC"/>
    <w:rsid w:val="00FC5354"/>
    <w:rsid w:val="00FC63D2"/>
    <w:rsid w:val="00FC7B0D"/>
    <w:rsid w:val="00FD48E5"/>
    <w:rsid w:val="00FD4B86"/>
    <w:rsid w:val="00FD5C00"/>
    <w:rsid w:val="00FE028C"/>
    <w:rsid w:val="00FE4DA1"/>
    <w:rsid w:val="00FE6851"/>
    <w:rsid w:val="00FE6A22"/>
    <w:rsid w:val="00FE6CB9"/>
    <w:rsid w:val="00FE73DD"/>
    <w:rsid w:val="00FF2BCE"/>
    <w:rsid w:val="00FF3B49"/>
    <w:rsid w:val="5003B897"/>
    <w:rsid w:val="500E29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1B788"/>
  <w15:docId w15:val="{0207EBE1-5FE8-48CD-9319-35D94A91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DC"/>
    <w:rPr>
      <w:sz w:val="24"/>
      <w:szCs w:val="24"/>
      <w:lang w:eastAsia="en-US"/>
    </w:rPr>
  </w:style>
  <w:style w:type="paragraph" w:styleId="Heading1">
    <w:name w:val="heading 1"/>
    <w:basedOn w:val="Normal"/>
    <w:next w:val="Normal"/>
    <w:link w:val="Heading1Char"/>
    <w:uiPriority w:val="99"/>
    <w:qFormat/>
    <w:rsid w:val="00ED3FDC"/>
    <w:pPr>
      <w:keepNext/>
      <w:outlineLvl w:val="0"/>
    </w:pPr>
    <w:rPr>
      <w:b/>
      <w:bCs/>
    </w:rPr>
  </w:style>
  <w:style w:type="paragraph" w:styleId="Heading2">
    <w:name w:val="heading 2"/>
    <w:basedOn w:val="Normal"/>
    <w:next w:val="Normal"/>
    <w:link w:val="Heading2Char"/>
    <w:semiHidden/>
    <w:unhideWhenUsed/>
    <w:qFormat/>
    <w:locked/>
    <w:rsid w:val="00673D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0B07"/>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EA0B07"/>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rsid w:val="00B524BB"/>
    <w:rPr>
      <w:rFonts w:ascii="Tahoma" w:hAnsi="Tahoma" w:cs="Tahoma"/>
      <w:sz w:val="16"/>
      <w:szCs w:val="16"/>
    </w:rPr>
  </w:style>
  <w:style w:type="character" w:customStyle="1" w:styleId="BalloonTextChar">
    <w:name w:val="Balloon Text Char"/>
    <w:link w:val="BalloonText"/>
    <w:uiPriority w:val="99"/>
    <w:semiHidden/>
    <w:rsid w:val="00EA0B07"/>
    <w:rPr>
      <w:sz w:val="0"/>
      <w:szCs w:val="0"/>
      <w:lang w:eastAsia="en-US"/>
    </w:rPr>
  </w:style>
  <w:style w:type="character" w:styleId="Hyperlink">
    <w:name w:val="Hyperlink"/>
    <w:uiPriority w:val="99"/>
    <w:rsid w:val="000A3CD2"/>
    <w:rPr>
      <w:rFonts w:cs="Times New Roman"/>
      <w:color w:val="0000FF"/>
      <w:u w:val="single"/>
    </w:rPr>
  </w:style>
  <w:style w:type="character" w:styleId="FollowedHyperlink">
    <w:name w:val="FollowedHyperlink"/>
    <w:uiPriority w:val="99"/>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uiPriority w:val="99"/>
    <w:rsid w:val="00CE1BCE"/>
    <w:pPr>
      <w:tabs>
        <w:tab w:val="center" w:pos="4153"/>
        <w:tab w:val="right" w:pos="8306"/>
      </w:tabs>
    </w:pPr>
  </w:style>
  <w:style w:type="character" w:customStyle="1" w:styleId="HeaderChar">
    <w:name w:val="Header Char"/>
    <w:link w:val="Header"/>
    <w:uiPriority w:val="99"/>
    <w:locked/>
    <w:rsid w:val="00A810D9"/>
    <w:rPr>
      <w:sz w:val="24"/>
      <w:lang w:eastAsia="en-US"/>
    </w:rPr>
  </w:style>
  <w:style w:type="paragraph" w:styleId="Footer">
    <w:name w:val="footer"/>
    <w:basedOn w:val="Normal"/>
    <w:link w:val="FooterChar"/>
    <w:uiPriority w:val="99"/>
    <w:rsid w:val="00CE1BCE"/>
    <w:pPr>
      <w:tabs>
        <w:tab w:val="center" w:pos="4153"/>
        <w:tab w:val="right" w:pos="8306"/>
      </w:tabs>
    </w:pPr>
  </w:style>
  <w:style w:type="character" w:customStyle="1" w:styleId="FooterChar">
    <w:name w:val="Footer Char"/>
    <w:link w:val="Footer"/>
    <w:uiPriority w:val="99"/>
    <w:locked/>
    <w:rsid w:val="00060939"/>
    <w:rPr>
      <w:sz w:val="24"/>
      <w:lang w:eastAsia="en-US"/>
    </w:rPr>
  </w:style>
  <w:style w:type="character" w:styleId="Emphasis">
    <w:name w:val="Emphasis"/>
    <w:uiPriority w:val="99"/>
    <w:qFormat/>
    <w:rsid w:val="00B16876"/>
    <w:rPr>
      <w:rFonts w:cs="Times New Roman"/>
      <w:i/>
    </w:rPr>
  </w:style>
  <w:style w:type="paragraph" w:styleId="ListParagraph">
    <w:name w:val="List Paragraph"/>
    <w:basedOn w:val="Normal"/>
    <w:uiPriority w:val="34"/>
    <w:qFormat/>
    <w:rsid w:val="00FC084B"/>
    <w:pPr>
      <w:spacing w:after="200" w:line="276" w:lineRule="auto"/>
      <w:ind w:left="720"/>
      <w:contextualSpacing/>
    </w:pPr>
    <w:rPr>
      <w:rFonts w:ascii="Calibri" w:hAnsi="Calibri"/>
      <w:sz w:val="22"/>
      <w:szCs w:val="22"/>
    </w:rPr>
  </w:style>
  <w:style w:type="character" w:styleId="Strong">
    <w:name w:val="Strong"/>
    <w:uiPriority w:val="22"/>
    <w:qFormat/>
    <w:locked/>
    <w:rsid w:val="00FC084B"/>
    <w:rPr>
      <w:rFonts w:cs="Times New Roman"/>
      <w:b/>
      <w:bCs/>
    </w:rPr>
  </w:style>
  <w:style w:type="table" w:styleId="TableGrid">
    <w:name w:val="Table Grid"/>
    <w:basedOn w:val="TableNormal"/>
    <w:rsid w:val="0067771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834A7"/>
    <w:rPr>
      <w:rFonts w:ascii="Calibri" w:eastAsia="Calibri" w:hAnsi="Calibri" w:cs="Calibri"/>
      <w:sz w:val="22"/>
      <w:szCs w:val="22"/>
    </w:rPr>
  </w:style>
  <w:style w:type="character" w:customStyle="1" w:styleId="title7">
    <w:name w:val="title7"/>
    <w:rsid w:val="002555B6"/>
    <w:rPr>
      <w:b w:val="0"/>
      <w:bCs w:val="0"/>
      <w:i w:val="0"/>
      <w:iCs w:val="0"/>
      <w:strike w:val="0"/>
      <w:dstrike w:val="0"/>
      <w:color w:val="D92E10"/>
      <w:sz w:val="26"/>
      <w:szCs w:val="26"/>
      <w:u w:val="none"/>
      <w:effect w:val="none"/>
    </w:rPr>
  </w:style>
  <w:style w:type="paragraph" w:customStyle="1" w:styleId="default">
    <w:name w:val="default"/>
    <w:basedOn w:val="Normal"/>
    <w:rsid w:val="002555B6"/>
    <w:rPr>
      <w:lang w:eastAsia="en-GB"/>
    </w:rPr>
  </w:style>
  <w:style w:type="table" w:customStyle="1" w:styleId="TableGrid1">
    <w:name w:val="Table Grid1"/>
    <w:basedOn w:val="TableNormal"/>
    <w:next w:val="TableGrid"/>
    <w:uiPriority w:val="59"/>
    <w:rsid w:val="006827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975420"/>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007EA3"/>
    <w:rPr>
      <w:color w:val="605E5C"/>
      <w:shd w:val="clear" w:color="auto" w:fill="E1DFDD"/>
    </w:rPr>
  </w:style>
  <w:style w:type="character" w:styleId="UnresolvedMention">
    <w:name w:val="Unresolved Mention"/>
    <w:basedOn w:val="DefaultParagraphFont"/>
    <w:uiPriority w:val="99"/>
    <w:semiHidden/>
    <w:unhideWhenUsed/>
    <w:rsid w:val="00490B2C"/>
    <w:rPr>
      <w:color w:val="605E5C"/>
      <w:shd w:val="clear" w:color="auto" w:fill="E1DFDD"/>
    </w:rPr>
  </w:style>
  <w:style w:type="character" w:customStyle="1" w:styleId="Heading2Char">
    <w:name w:val="Heading 2 Char"/>
    <w:basedOn w:val="DefaultParagraphFont"/>
    <w:link w:val="Heading2"/>
    <w:semiHidden/>
    <w:rsid w:val="00673DCC"/>
    <w:rPr>
      <w:rFonts w:asciiTheme="majorHAnsi" w:eastAsiaTheme="majorEastAsia" w:hAnsiTheme="majorHAnsi" w:cstheme="majorBidi"/>
      <w:color w:val="365F91" w:themeColor="accent1" w:themeShade="BF"/>
      <w:sz w:val="26"/>
      <w:szCs w:val="26"/>
      <w:lang w:eastAsia="en-US"/>
    </w:rPr>
  </w:style>
  <w:style w:type="paragraph" w:customStyle="1" w:styleId="xmsonormal">
    <w:name w:val="x_msonormal"/>
    <w:basedOn w:val="Normal"/>
    <w:rsid w:val="006A1BC5"/>
    <w:rPr>
      <w:rFonts w:ascii="Calibri" w:eastAsiaTheme="minorHAnsi" w:hAnsi="Calibri" w:cs="Calibri"/>
      <w:sz w:val="22"/>
      <w:szCs w:val="22"/>
      <w:lang w:eastAsia="en-GB"/>
    </w:rPr>
  </w:style>
  <w:style w:type="paragraph" w:customStyle="1" w:styleId="paragraph">
    <w:name w:val="paragraph"/>
    <w:basedOn w:val="Normal"/>
    <w:rsid w:val="00A977AF"/>
    <w:pPr>
      <w:spacing w:before="100" w:beforeAutospacing="1" w:after="100" w:afterAutospacing="1"/>
    </w:pPr>
    <w:rPr>
      <w:lang w:eastAsia="en-GB"/>
    </w:rPr>
  </w:style>
  <w:style w:type="character" w:customStyle="1" w:styleId="normaltextrun">
    <w:name w:val="normaltextrun"/>
    <w:basedOn w:val="DefaultParagraphFont"/>
    <w:rsid w:val="00A977AF"/>
  </w:style>
  <w:style w:type="character" w:customStyle="1" w:styleId="eop">
    <w:name w:val="eop"/>
    <w:basedOn w:val="DefaultParagraphFont"/>
    <w:rsid w:val="00A977AF"/>
  </w:style>
  <w:style w:type="table" w:customStyle="1" w:styleId="TableGrid2">
    <w:name w:val="Table Grid2"/>
    <w:basedOn w:val="TableNormal"/>
    <w:next w:val="TableGrid"/>
    <w:uiPriority w:val="59"/>
    <w:rsid w:val="00AD5C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locked/>
    <w:rsid w:val="002E049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E0497"/>
    <w:rPr>
      <w:rFonts w:asciiTheme="minorHAnsi" w:eastAsiaTheme="minorEastAsia" w:hAnsiTheme="minorHAnsi" w:cstheme="minorBidi"/>
      <w:color w:val="5A5A5A" w:themeColor="text1" w:themeTint="A5"/>
      <w:spacing w:val="15"/>
      <w:sz w:val="22"/>
      <w:szCs w:val="22"/>
      <w:lang w:eastAsia="en-US"/>
    </w:rPr>
  </w:style>
  <w:style w:type="paragraph" w:styleId="CommentText">
    <w:name w:val="annotation text"/>
    <w:basedOn w:val="Normal"/>
    <w:link w:val="CommentTextChar"/>
    <w:uiPriority w:val="99"/>
    <w:semiHidden/>
    <w:unhideWhenUsed/>
    <w:rsid w:val="00CA3F40"/>
    <w:rPr>
      <w:sz w:val="20"/>
      <w:szCs w:val="20"/>
    </w:rPr>
  </w:style>
  <w:style w:type="character" w:customStyle="1" w:styleId="CommentTextChar">
    <w:name w:val="Comment Text Char"/>
    <w:basedOn w:val="DefaultParagraphFont"/>
    <w:link w:val="CommentText"/>
    <w:uiPriority w:val="99"/>
    <w:semiHidden/>
    <w:rsid w:val="00CA3F40"/>
    <w:rPr>
      <w:lang w:eastAsia="en-US"/>
    </w:rPr>
  </w:style>
  <w:style w:type="character" w:customStyle="1" w:styleId="ui-provider">
    <w:name w:val="ui-provider"/>
    <w:basedOn w:val="DefaultParagraphFont"/>
    <w:rsid w:val="004B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272">
      <w:bodyDiv w:val="1"/>
      <w:marLeft w:val="0"/>
      <w:marRight w:val="0"/>
      <w:marTop w:val="0"/>
      <w:marBottom w:val="0"/>
      <w:divBdr>
        <w:top w:val="none" w:sz="0" w:space="0" w:color="auto"/>
        <w:left w:val="none" w:sz="0" w:space="0" w:color="auto"/>
        <w:bottom w:val="none" w:sz="0" w:space="0" w:color="auto"/>
        <w:right w:val="none" w:sz="0" w:space="0" w:color="auto"/>
      </w:divBdr>
      <w:divsChild>
        <w:div w:id="904923133">
          <w:marLeft w:val="0"/>
          <w:marRight w:val="0"/>
          <w:marTop w:val="0"/>
          <w:marBottom w:val="0"/>
          <w:divBdr>
            <w:top w:val="none" w:sz="0" w:space="0" w:color="auto"/>
            <w:left w:val="none" w:sz="0" w:space="0" w:color="auto"/>
            <w:bottom w:val="none" w:sz="0" w:space="0" w:color="auto"/>
            <w:right w:val="none" w:sz="0" w:space="0" w:color="auto"/>
          </w:divBdr>
          <w:divsChild>
            <w:div w:id="794375476">
              <w:marLeft w:val="0"/>
              <w:marRight w:val="0"/>
              <w:marTop w:val="0"/>
              <w:marBottom w:val="0"/>
              <w:divBdr>
                <w:top w:val="none" w:sz="0" w:space="0" w:color="auto"/>
                <w:left w:val="none" w:sz="0" w:space="0" w:color="auto"/>
                <w:bottom w:val="none" w:sz="0" w:space="0" w:color="auto"/>
                <w:right w:val="none" w:sz="0" w:space="0" w:color="auto"/>
              </w:divBdr>
            </w:div>
            <w:div w:id="10234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94">
      <w:bodyDiv w:val="1"/>
      <w:marLeft w:val="0"/>
      <w:marRight w:val="0"/>
      <w:marTop w:val="0"/>
      <w:marBottom w:val="0"/>
      <w:divBdr>
        <w:top w:val="none" w:sz="0" w:space="0" w:color="auto"/>
        <w:left w:val="none" w:sz="0" w:space="0" w:color="auto"/>
        <w:bottom w:val="none" w:sz="0" w:space="0" w:color="auto"/>
        <w:right w:val="none" w:sz="0" w:space="0" w:color="auto"/>
      </w:divBdr>
    </w:div>
    <w:div w:id="21177735">
      <w:bodyDiv w:val="1"/>
      <w:marLeft w:val="0"/>
      <w:marRight w:val="0"/>
      <w:marTop w:val="0"/>
      <w:marBottom w:val="0"/>
      <w:divBdr>
        <w:top w:val="none" w:sz="0" w:space="0" w:color="auto"/>
        <w:left w:val="none" w:sz="0" w:space="0" w:color="auto"/>
        <w:bottom w:val="none" w:sz="0" w:space="0" w:color="auto"/>
        <w:right w:val="none" w:sz="0" w:space="0" w:color="auto"/>
      </w:divBdr>
    </w:div>
    <w:div w:id="50155621">
      <w:bodyDiv w:val="1"/>
      <w:marLeft w:val="0"/>
      <w:marRight w:val="0"/>
      <w:marTop w:val="0"/>
      <w:marBottom w:val="0"/>
      <w:divBdr>
        <w:top w:val="none" w:sz="0" w:space="0" w:color="auto"/>
        <w:left w:val="none" w:sz="0" w:space="0" w:color="auto"/>
        <w:bottom w:val="none" w:sz="0" w:space="0" w:color="auto"/>
        <w:right w:val="none" w:sz="0" w:space="0" w:color="auto"/>
      </w:divBdr>
    </w:div>
    <w:div w:id="51975093">
      <w:bodyDiv w:val="1"/>
      <w:marLeft w:val="0"/>
      <w:marRight w:val="0"/>
      <w:marTop w:val="0"/>
      <w:marBottom w:val="0"/>
      <w:divBdr>
        <w:top w:val="none" w:sz="0" w:space="0" w:color="auto"/>
        <w:left w:val="none" w:sz="0" w:space="0" w:color="auto"/>
        <w:bottom w:val="none" w:sz="0" w:space="0" w:color="auto"/>
        <w:right w:val="none" w:sz="0" w:space="0" w:color="auto"/>
      </w:divBdr>
    </w:div>
    <w:div w:id="148786946">
      <w:bodyDiv w:val="1"/>
      <w:marLeft w:val="0"/>
      <w:marRight w:val="0"/>
      <w:marTop w:val="0"/>
      <w:marBottom w:val="0"/>
      <w:divBdr>
        <w:top w:val="none" w:sz="0" w:space="0" w:color="auto"/>
        <w:left w:val="none" w:sz="0" w:space="0" w:color="auto"/>
        <w:bottom w:val="none" w:sz="0" w:space="0" w:color="auto"/>
        <w:right w:val="none" w:sz="0" w:space="0" w:color="auto"/>
      </w:divBdr>
    </w:div>
    <w:div w:id="190531620">
      <w:bodyDiv w:val="1"/>
      <w:marLeft w:val="0"/>
      <w:marRight w:val="0"/>
      <w:marTop w:val="0"/>
      <w:marBottom w:val="0"/>
      <w:divBdr>
        <w:top w:val="none" w:sz="0" w:space="0" w:color="auto"/>
        <w:left w:val="none" w:sz="0" w:space="0" w:color="auto"/>
        <w:bottom w:val="none" w:sz="0" w:space="0" w:color="auto"/>
        <w:right w:val="none" w:sz="0" w:space="0" w:color="auto"/>
      </w:divBdr>
    </w:div>
    <w:div w:id="392435957">
      <w:bodyDiv w:val="1"/>
      <w:marLeft w:val="0"/>
      <w:marRight w:val="0"/>
      <w:marTop w:val="0"/>
      <w:marBottom w:val="0"/>
      <w:divBdr>
        <w:top w:val="none" w:sz="0" w:space="0" w:color="auto"/>
        <w:left w:val="none" w:sz="0" w:space="0" w:color="auto"/>
        <w:bottom w:val="none" w:sz="0" w:space="0" w:color="auto"/>
        <w:right w:val="none" w:sz="0" w:space="0" w:color="auto"/>
      </w:divBdr>
    </w:div>
    <w:div w:id="399862132">
      <w:bodyDiv w:val="1"/>
      <w:marLeft w:val="0"/>
      <w:marRight w:val="0"/>
      <w:marTop w:val="0"/>
      <w:marBottom w:val="0"/>
      <w:divBdr>
        <w:top w:val="none" w:sz="0" w:space="0" w:color="auto"/>
        <w:left w:val="none" w:sz="0" w:space="0" w:color="auto"/>
        <w:bottom w:val="none" w:sz="0" w:space="0" w:color="auto"/>
        <w:right w:val="none" w:sz="0" w:space="0" w:color="auto"/>
      </w:divBdr>
    </w:div>
    <w:div w:id="420686739">
      <w:bodyDiv w:val="1"/>
      <w:marLeft w:val="0"/>
      <w:marRight w:val="0"/>
      <w:marTop w:val="0"/>
      <w:marBottom w:val="0"/>
      <w:divBdr>
        <w:top w:val="none" w:sz="0" w:space="0" w:color="auto"/>
        <w:left w:val="none" w:sz="0" w:space="0" w:color="auto"/>
        <w:bottom w:val="none" w:sz="0" w:space="0" w:color="auto"/>
        <w:right w:val="none" w:sz="0" w:space="0" w:color="auto"/>
      </w:divBdr>
    </w:div>
    <w:div w:id="440609589">
      <w:bodyDiv w:val="1"/>
      <w:marLeft w:val="0"/>
      <w:marRight w:val="0"/>
      <w:marTop w:val="0"/>
      <w:marBottom w:val="0"/>
      <w:divBdr>
        <w:top w:val="none" w:sz="0" w:space="0" w:color="auto"/>
        <w:left w:val="none" w:sz="0" w:space="0" w:color="auto"/>
        <w:bottom w:val="none" w:sz="0" w:space="0" w:color="auto"/>
        <w:right w:val="none" w:sz="0" w:space="0" w:color="auto"/>
      </w:divBdr>
    </w:div>
    <w:div w:id="495417666">
      <w:bodyDiv w:val="1"/>
      <w:marLeft w:val="0"/>
      <w:marRight w:val="0"/>
      <w:marTop w:val="0"/>
      <w:marBottom w:val="0"/>
      <w:divBdr>
        <w:top w:val="none" w:sz="0" w:space="0" w:color="auto"/>
        <w:left w:val="none" w:sz="0" w:space="0" w:color="auto"/>
        <w:bottom w:val="none" w:sz="0" w:space="0" w:color="auto"/>
        <w:right w:val="none" w:sz="0" w:space="0" w:color="auto"/>
      </w:divBdr>
      <w:divsChild>
        <w:div w:id="911043375">
          <w:marLeft w:val="0"/>
          <w:marRight w:val="0"/>
          <w:marTop w:val="480"/>
          <w:marBottom w:val="480"/>
          <w:divBdr>
            <w:top w:val="none" w:sz="0" w:space="0" w:color="auto"/>
            <w:left w:val="single" w:sz="48" w:space="12" w:color="B1B4B6"/>
            <w:bottom w:val="none" w:sz="0" w:space="0" w:color="auto"/>
            <w:right w:val="none" w:sz="0" w:space="0" w:color="auto"/>
          </w:divBdr>
        </w:div>
      </w:divsChild>
    </w:div>
    <w:div w:id="527765592">
      <w:bodyDiv w:val="1"/>
      <w:marLeft w:val="0"/>
      <w:marRight w:val="0"/>
      <w:marTop w:val="0"/>
      <w:marBottom w:val="0"/>
      <w:divBdr>
        <w:top w:val="none" w:sz="0" w:space="0" w:color="auto"/>
        <w:left w:val="none" w:sz="0" w:space="0" w:color="auto"/>
        <w:bottom w:val="none" w:sz="0" w:space="0" w:color="auto"/>
        <w:right w:val="none" w:sz="0" w:space="0" w:color="auto"/>
      </w:divBdr>
    </w:div>
    <w:div w:id="546142136">
      <w:bodyDiv w:val="1"/>
      <w:marLeft w:val="0"/>
      <w:marRight w:val="0"/>
      <w:marTop w:val="0"/>
      <w:marBottom w:val="0"/>
      <w:divBdr>
        <w:top w:val="none" w:sz="0" w:space="0" w:color="auto"/>
        <w:left w:val="none" w:sz="0" w:space="0" w:color="auto"/>
        <w:bottom w:val="none" w:sz="0" w:space="0" w:color="auto"/>
        <w:right w:val="none" w:sz="0" w:space="0" w:color="auto"/>
      </w:divBdr>
    </w:div>
    <w:div w:id="573777446">
      <w:bodyDiv w:val="1"/>
      <w:marLeft w:val="0"/>
      <w:marRight w:val="0"/>
      <w:marTop w:val="0"/>
      <w:marBottom w:val="0"/>
      <w:divBdr>
        <w:top w:val="none" w:sz="0" w:space="0" w:color="auto"/>
        <w:left w:val="none" w:sz="0" w:space="0" w:color="auto"/>
        <w:bottom w:val="none" w:sz="0" w:space="0" w:color="auto"/>
        <w:right w:val="none" w:sz="0" w:space="0" w:color="auto"/>
      </w:divBdr>
    </w:div>
    <w:div w:id="588122905">
      <w:bodyDiv w:val="1"/>
      <w:marLeft w:val="0"/>
      <w:marRight w:val="0"/>
      <w:marTop w:val="0"/>
      <w:marBottom w:val="0"/>
      <w:divBdr>
        <w:top w:val="none" w:sz="0" w:space="0" w:color="auto"/>
        <w:left w:val="none" w:sz="0" w:space="0" w:color="auto"/>
        <w:bottom w:val="none" w:sz="0" w:space="0" w:color="auto"/>
        <w:right w:val="none" w:sz="0" w:space="0" w:color="auto"/>
      </w:divBdr>
    </w:div>
    <w:div w:id="618953654">
      <w:bodyDiv w:val="1"/>
      <w:marLeft w:val="0"/>
      <w:marRight w:val="0"/>
      <w:marTop w:val="0"/>
      <w:marBottom w:val="0"/>
      <w:divBdr>
        <w:top w:val="none" w:sz="0" w:space="0" w:color="auto"/>
        <w:left w:val="none" w:sz="0" w:space="0" w:color="auto"/>
        <w:bottom w:val="none" w:sz="0" w:space="0" w:color="auto"/>
        <w:right w:val="none" w:sz="0" w:space="0" w:color="auto"/>
      </w:divBdr>
      <w:divsChild>
        <w:div w:id="500046199">
          <w:marLeft w:val="0"/>
          <w:marRight w:val="0"/>
          <w:marTop w:val="0"/>
          <w:marBottom w:val="0"/>
          <w:divBdr>
            <w:top w:val="none" w:sz="0" w:space="0" w:color="auto"/>
            <w:left w:val="none" w:sz="0" w:space="0" w:color="auto"/>
            <w:bottom w:val="none" w:sz="0" w:space="0" w:color="auto"/>
            <w:right w:val="none" w:sz="0" w:space="0" w:color="auto"/>
          </w:divBdr>
        </w:div>
        <w:div w:id="1827739964">
          <w:marLeft w:val="0"/>
          <w:marRight w:val="0"/>
          <w:marTop w:val="0"/>
          <w:marBottom w:val="0"/>
          <w:divBdr>
            <w:top w:val="none" w:sz="0" w:space="0" w:color="auto"/>
            <w:left w:val="none" w:sz="0" w:space="0" w:color="auto"/>
            <w:bottom w:val="none" w:sz="0" w:space="0" w:color="auto"/>
            <w:right w:val="none" w:sz="0" w:space="0" w:color="auto"/>
          </w:divBdr>
        </w:div>
      </w:divsChild>
    </w:div>
    <w:div w:id="626206013">
      <w:bodyDiv w:val="1"/>
      <w:marLeft w:val="0"/>
      <w:marRight w:val="0"/>
      <w:marTop w:val="0"/>
      <w:marBottom w:val="0"/>
      <w:divBdr>
        <w:top w:val="none" w:sz="0" w:space="0" w:color="auto"/>
        <w:left w:val="none" w:sz="0" w:space="0" w:color="auto"/>
        <w:bottom w:val="none" w:sz="0" w:space="0" w:color="auto"/>
        <w:right w:val="none" w:sz="0" w:space="0" w:color="auto"/>
      </w:divBdr>
    </w:div>
    <w:div w:id="679897579">
      <w:bodyDiv w:val="1"/>
      <w:marLeft w:val="0"/>
      <w:marRight w:val="0"/>
      <w:marTop w:val="0"/>
      <w:marBottom w:val="0"/>
      <w:divBdr>
        <w:top w:val="none" w:sz="0" w:space="0" w:color="auto"/>
        <w:left w:val="none" w:sz="0" w:space="0" w:color="auto"/>
        <w:bottom w:val="none" w:sz="0" w:space="0" w:color="auto"/>
        <w:right w:val="none" w:sz="0" w:space="0" w:color="auto"/>
      </w:divBdr>
    </w:div>
    <w:div w:id="721518427">
      <w:bodyDiv w:val="1"/>
      <w:marLeft w:val="0"/>
      <w:marRight w:val="0"/>
      <w:marTop w:val="0"/>
      <w:marBottom w:val="0"/>
      <w:divBdr>
        <w:top w:val="none" w:sz="0" w:space="0" w:color="auto"/>
        <w:left w:val="none" w:sz="0" w:space="0" w:color="auto"/>
        <w:bottom w:val="none" w:sz="0" w:space="0" w:color="auto"/>
        <w:right w:val="none" w:sz="0" w:space="0" w:color="auto"/>
      </w:divBdr>
    </w:div>
    <w:div w:id="724722635">
      <w:bodyDiv w:val="1"/>
      <w:marLeft w:val="0"/>
      <w:marRight w:val="0"/>
      <w:marTop w:val="0"/>
      <w:marBottom w:val="0"/>
      <w:divBdr>
        <w:top w:val="none" w:sz="0" w:space="0" w:color="auto"/>
        <w:left w:val="none" w:sz="0" w:space="0" w:color="auto"/>
        <w:bottom w:val="none" w:sz="0" w:space="0" w:color="auto"/>
        <w:right w:val="none" w:sz="0" w:space="0" w:color="auto"/>
      </w:divBdr>
    </w:div>
    <w:div w:id="798493441">
      <w:bodyDiv w:val="1"/>
      <w:marLeft w:val="0"/>
      <w:marRight w:val="0"/>
      <w:marTop w:val="0"/>
      <w:marBottom w:val="0"/>
      <w:divBdr>
        <w:top w:val="none" w:sz="0" w:space="0" w:color="auto"/>
        <w:left w:val="none" w:sz="0" w:space="0" w:color="auto"/>
        <w:bottom w:val="none" w:sz="0" w:space="0" w:color="auto"/>
        <w:right w:val="none" w:sz="0" w:space="0" w:color="auto"/>
      </w:divBdr>
    </w:div>
    <w:div w:id="899250477">
      <w:bodyDiv w:val="1"/>
      <w:marLeft w:val="0"/>
      <w:marRight w:val="0"/>
      <w:marTop w:val="0"/>
      <w:marBottom w:val="0"/>
      <w:divBdr>
        <w:top w:val="none" w:sz="0" w:space="0" w:color="auto"/>
        <w:left w:val="none" w:sz="0" w:space="0" w:color="auto"/>
        <w:bottom w:val="none" w:sz="0" w:space="0" w:color="auto"/>
        <w:right w:val="none" w:sz="0" w:space="0" w:color="auto"/>
      </w:divBdr>
    </w:div>
    <w:div w:id="1001353304">
      <w:bodyDiv w:val="1"/>
      <w:marLeft w:val="0"/>
      <w:marRight w:val="0"/>
      <w:marTop w:val="0"/>
      <w:marBottom w:val="0"/>
      <w:divBdr>
        <w:top w:val="none" w:sz="0" w:space="0" w:color="auto"/>
        <w:left w:val="none" w:sz="0" w:space="0" w:color="auto"/>
        <w:bottom w:val="none" w:sz="0" w:space="0" w:color="auto"/>
        <w:right w:val="none" w:sz="0" w:space="0" w:color="auto"/>
      </w:divBdr>
    </w:div>
    <w:div w:id="1028676927">
      <w:bodyDiv w:val="1"/>
      <w:marLeft w:val="0"/>
      <w:marRight w:val="0"/>
      <w:marTop w:val="0"/>
      <w:marBottom w:val="0"/>
      <w:divBdr>
        <w:top w:val="none" w:sz="0" w:space="0" w:color="auto"/>
        <w:left w:val="none" w:sz="0" w:space="0" w:color="auto"/>
        <w:bottom w:val="none" w:sz="0" w:space="0" w:color="auto"/>
        <w:right w:val="none" w:sz="0" w:space="0" w:color="auto"/>
      </w:divBdr>
    </w:div>
    <w:div w:id="1040401395">
      <w:bodyDiv w:val="1"/>
      <w:marLeft w:val="0"/>
      <w:marRight w:val="0"/>
      <w:marTop w:val="0"/>
      <w:marBottom w:val="0"/>
      <w:divBdr>
        <w:top w:val="none" w:sz="0" w:space="0" w:color="auto"/>
        <w:left w:val="none" w:sz="0" w:space="0" w:color="auto"/>
        <w:bottom w:val="none" w:sz="0" w:space="0" w:color="auto"/>
        <w:right w:val="none" w:sz="0" w:space="0" w:color="auto"/>
      </w:divBdr>
    </w:div>
    <w:div w:id="1049375478">
      <w:bodyDiv w:val="1"/>
      <w:marLeft w:val="0"/>
      <w:marRight w:val="0"/>
      <w:marTop w:val="0"/>
      <w:marBottom w:val="0"/>
      <w:divBdr>
        <w:top w:val="none" w:sz="0" w:space="0" w:color="auto"/>
        <w:left w:val="none" w:sz="0" w:space="0" w:color="auto"/>
        <w:bottom w:val="none" w:sz="0" w:space="0" w:color="auto"/>
        <w:right w:val="none" w:sz="0" w:space="0" w:color="auto"/>
      </w:divBdr>
    </w:div>
    <w:div w:id="1060322956">
      <w:bodyDiv w:val="1"/>
      <w:marLeft w:val="0"/>
      <w:marRight w:val="0"/>
      <w:marTop w:val="0"/>
      <w:marBottom w:val="0"/>
      <w:divBdr>
        <w:top w:val="none" w:sz="0" w:space="0" w:color="auto"/>
        <w:left w:val="none" w:sz="0" w:space="0" w:color="auto"/>
        <w:bottom w:val="none" w:sz="0" w:space="0" w:color="auto"/>
        <w:right w:val="none" w:sz="0" w:space="0" w:color="auto"/>
      </w:divBdr>
    </w:div>
    <w:div w:id="1102795641">
      <w:bodyDiv w:val="1"/>
      <w:marLeft w:val="0"/>
      <w:marRight w:val="0"/>
      <w:marTop w:val="0"/>
      <w:marBottom w:val="0"/>
      <w:divBdr>
        <w:top w:val="none" w:sz="0" w:space="0" w:color="auto"/>
        <w:left w:val="none" w:sz="0" w:space="0" w:color="auto"/>
        <w:bottom w:val="none" w:sz="0" w:space="0" w:color="auto"/>
        <w:right w:val="none" w:sz="0" w:space="0" w:color="auto"/>
      </w:divBdr>
    </w:div>
    <w:div w:id="1124470713">
      <w:bodyDiv w:val="1"/>
      <w:marLeft w:val="0"/>
      <w:marRight w:val="0"/>
      <w:marTop w:val="0"/>
      <w:marBottom w:val="0"/>
      <w:divBdr>
        <w:top w:val="none" w:sz="0" w:space="0" w:color="auto"/>
        <w:left w:val="none" w:sz="0" w:space="0" w:color="auto"/>
        <w:bottom w:val="none" w:sz="0" w:space="0" w:color="auto"/>
        <w:right w:val="none" w:sz="0" w:space="0" w:color="auto"/>
      </w:divBdr>
    </w:div>
    <w:div w:id="1144544290">
      <w:bodyDiv w:val="1"/>
      <w:marLeft w:val="0"/>
      <w:marRight w:val="0"/>
      <w:marTop w:val="0"/>
      <w:marBottom w:val="0"/>
      <w:divBdr>
        <w:top w:val="none" w:sz="0" w:space="0" w:color="auto"/>
        <w:left w:val="none" w:sz="0" w:space="0" w:color="auto"/>
        <w:bottom w:val="none" w:sz="0" w:space="0" w:color="auto"/>
        <w:right w:val="none" w:sz="0" w:space="0" w:color="auto"/>
      </w:divBdr>
    </w:div>
    <w:div w:id="1146820874">
      <w:marLeft w:val="0"/>
      <w:marRight w:val="0"/>
      <w:marTop w:val="0"/>
      <w:marBottom w:val="0"/>
      <w:divBdr>
        <w:top w:val="none" w:sz="0" w:space="0" w:color="auto"/>
        <w:left w:val="none" w:sz="0" w:space="0" w:color="auto"/>
        <w:bottom w:val="none" w:sz="0" w:space="0" w:color="auto"/>
        <w:right w:val="none" w:sz="0" w:space="0" w:color="auto"/>
      </w:divBdr>
    </w:div>
    <w:div w:id="1146820875">
      <w:marLeft w:val="0"/>
      <w:marRight w:val="0"/>
      <w:marTop w:val="0"/>
      <w:marBottom w:val="0"/>
      <w:divBdr>
        <w:top w:val="none" w:sz="0" w:space="0" w:color="auto"/>
        <w:left w:val="none" w:sz="0" w:space="0" w:color="auto"/>
        <w:bottom w:val="none" w:sz="0" w:space="0" w:color="auto"/>
        <w:right w:val="none" w:sz="0" w:space="0" w:color="auto"/>
      </w:divBdr>
    </w:div>
    <w:div w:id="1146820876">
      <w:marLeft w:val="0"/>
      <w:marRight w:val="0"/>
      <w:marTop w:val="0"/>
      <w:marBottom w:val="0"/>
      <w:divBdr>
        <w:top w:val="none" w:sz="0" w:space="0" w:color="auto"/>
        <w:left w:val="none" w:sz="0" w:space="0" w:color="auto"/>
        <w:bottom w:val="none" w:sz="0" w:space="0" w:color="auto"/>
        <w:right w:val="none" w:sz="0" w:space="0" w:color="auto"/>
      </w:divBdr>
    </w:div>
    <w:div w:id="1146820877">
      <w:marLeft w:val="0"/>
      <w:marRight w:val="0"/>
      <w:marTop w:val="0"/>
      <w:marBottom w:val="0"/>
      <w:divBdr>
        <w:top w:val="none" w:sz="0" w:space="0" w:color="auto"/>
        <w:left w:val="none" w:sz="0" w:space="0" w:color="auto"/>
        <w:bottom w:val="none" w:sz="0" w:space="0" w:color="auto"/>
        <w:right w:val="none" w:sz="0" w:space="0" w:color="auto"/>
      </w:divBdr>
    </w:div>
    <w:div w:id="1146820878">
      <w:marLeft w:val="0"/>
      <w:marRight w:val="0"/>
      <w:marTop w:val="0"/>
      <w:marBottom w:val="0"/>
      <w:divBdr>
        <w:top w:val="none" w:sz="0" w:space="0" w:color="auto"/>
        <w:left w:val="none" w:sz="0" w:space="0" w:color="auto"/>
        <w:bottom w:val="none" w:sz="0" w:space="0" w:color="auto"/>
        <w:right w:val="none" w:sz="0" w:space="0" w:color="auto"/>
      </w:divBdr>
    </w:div>
    <w:div w:id="1146820879">
      <w:marLeft w:val="0"/>
      <w:marRight w:val="0"/>
      <w:marTop w:val="0"/>
      <w:marBottom w:val="0"/>
      <w:divBdr>
        <w:top w:val="none" w:sz="0" w:space="0" w:color="auto"/>
        <w:left w:val="none" w:sz="0" w:space="0" w:color="auto"/>
        <w:bottom w:val="none" w:sz="0" w:space="0" w:color="auto"/>
        <w:right w:val="none" w:sz="0" w:space="0" w:color="auto"/>
      </w:divBdr>
    </w:div>
    <w:div w:id="1146820880">
      <w:marLeft w:val="0"/>
      <w:marRight w:val="0"/>
      <w:marTop w:val="0"/>
      <w:marBottom w:val="0"/>
      <w:divBdr>
        <w:top w:val="none" w:sz="0" w:space="0" w:color="auto"/>
        <w:left w:val="none" w:sz="0" w:space="0" w:color="auto"/>
        <w:bottom w:val="none" w:sz="0" w:space="0" w:color="auto"/>
        <w:right w:val="none" w:sz="0" w:space="0" w:color="auto"/>
      </w:divBdr>
    </w:div>
    <w:div w:id="1146820881">
      <w:marLeft w:val="0"/>
      <w:marRight w:val="0"/>
      <w:marTop w:val="0"/>
      <w:marBottom w:val="0"/>
      <w:divBdr>
        <w:top w:val="none" w:sz="0" w:space="0" w:color="auto"/>
        <w:left w:val="none" w:sz="0" w:space="0" w:color="auto"/>
        <w:bottom w:val="none" w:sz="0" w:space="0" w:color="auto"/>
        <w:right w:val="none" w:sz="0" w:space="0" w:color="auto"/>
      </w:divBdr>
    </w:div>
    <w:div w:id="1146820882">
      <w:marLeft w:val="0"/>
      <w:marRight w:val="0"/>
      <w:marTop w:val="0"/>
      <w:marBottom w:val="0"/>
      <w:divBdr>
        <w:top w:val="none" w:sz="0" w:space="0" w:color="auto"/>
        <w:left w:val="none" w:sz="0" w:space="0" w:color="auto"/>
        <w:bottom w:val="none" w:sz="0" w:space="0" w:color="auto"/>
        <w:right w:val="none" w:sz="0" w:space="0" w:color="auto"/>
      </w:divBdr>
    </w:div>
    <w:div w:id="1146820883">
      <w:marLeft w:val="0"/>
      <w:marRight w:val="0"/>
      <w:marTop w:val="0"/>
      <w:marBottom w:val="0"/>
      <w:divBdr>
        <w:top w:val="none" w:sz="0" w:space="0" w:color="auto"/>
        <w:left w:val="none" w:sz="0" w:space="0" w:color="auto"/>
        <w:bottom w:val="none" w:sz="0" w:space="0" w:color="auto"/>
        <w:right w:val="none" w:sz="0" w:space="0" w:color="auto"/>
      </w:divBdr>
    </w:div>
    <w:div w:id="1146820884">
      <w:marLeft w:val="0"/>
      <w:marRight w:val="0"/>
      <w:marTop w:val="0"/>
      <w:marBottom w:val="0"/>
      <w:divBdr>
        <w:top w:val="none" w:sz="0" w:space="0" w:color="auto"/>
        <w:left w:val="none" w:sz="0" w:space="0" w:color="auto"/>
        <w:bottom w:val="none" w:sz="0" w:space="0" w:color="auto"/>
        <w:right w:val="none" w:sz="0" w:space="0" w:color="auto"/>
      </w:divBdr>
    </w:div>
    <w:div w:id="1146820885">
      <w:marLeft w:val="0"/>
      <w:marRight w:val="0"/>
      <w:marTop w:val="0"/>
      <w:marBottom w:val="0"/>
      <w:divBdr>
        <w:top w:val="none" w:sz="0" w:space="0" w:color="auto"/>
        <w:left w:val="none" w:sz="0" w:space="0" w:color="auto"/>
        <w:bottom w:val="none" w:sz="0" w:space="0" w:color="auto"/>
        <w:right w:val="none" w:sz="0" w:space="0" w:color="auto"/>
      </w:divBdr>
    </w:div>
    <w:div w:id="1146820886">
      <w:marLeft w:val="0"/>
      <w:marRight w:val="0"/>
      <w:marTop w:val="0"/>
      <w:marBottom w:val="0"/>
      <w:divBdr>
        <w:top w:val="none" w:sz="0" w:space="0" w:color="auto"/>
        <w:left w:val="none" w:sz="0" w:space="0" w:color="auto"/>
        <w:bottom w:val="none" w:sz="0" w:space="0" w:color="auto"/>
        <w:right w:val="none" w:sz="0" w:space="0" w:color="auto"/>
      </w:divBdr>
    </w:div>
    <w:div w:id="1146820887">
      <w:marLeft w:val="0"/>
      <w:marRight w:val="0"/>
      <w:marTop w:val="0"/>
      <w:marBottom w:val="0"/>
      <w:divBdr>
        <w:top w:val="none" w:sz="0" w:space="0" w:color="auto"/>
        <w:left w:val="none" w:sz="0" w:space="0" w:color="auto"/>
        <w:bottom w:val="none" w:sz="0" w:space="0" w:color="auto"/>
        <w:right w:val="none" w:sz="0" w:space="0" w:color="auto"/>
      </w:divBdr>
    </w:div>
    <w:div w:id="1146820888">
      <w:marLeft w:val="0"/>
      <w:marRight w:val="0"/>
      <w:marTop w:val="0"/>
      <w:marBottom w:val="0"/>
      <w:divBdr>
        <w:top w:val="none" w:sz="0" w:space="0" w:color="auto"/>
        <w:left w:val="none" w:sz="0" w:space="0" w:color="auto"/>
        <w:bottom w:val="none" w:sz="0" w:space="0" w:color="auto"/>
        <w:right w:val="none" w:sz="0" w:space="0" w:color="auto"/>
      </w:divBdr>
    </w:div>
    <w:div w:id="1146820889">
      <w:marLeft w:val="0"/>
      <w:marRight w:val="0"/>
      <w:marTop w:val="0"/>
      <w:marBottom w:val="0"/>
      <w:divBdr>
        <w:top w:val="none" w:sz="0" w:space="0" w:color="auto"/>
        <w:left w:val="none" w:sz="0" w:space="0" w:color="auto"/>
        <w:bottom w:val="none" w:sz="0" w:space="0" w:color="auto"/>
        <w:right w:val="none" w:sz="0" w:space="0" w:color="auto"/>
      </w:divBdr>
    </w:div>
    <w:div w:id="1146820890">
      <w:marLeft w:val="0"/>
      <w:marRight w:val="0"/>
      <w:marTop w:val="0"/>
      <w:marBottom w:val="0"/>
      <w:divBdr>
        <w:top w:val="none" w:sz="0" w:space="0" w:color="auto"/>
        <w:left w:val="none" w:sz="0" w:space="0" w:color="auto"/>
        <w:bottom w:val="none" w:sz="0" w:space="0" w:color="auto"/>
        <w:right w:val="none" w:sz="0" w:space="0" w:color="auto"/>
      </w:divBdr>
    </w:div>
    <w:div w:id="1146820891">
      <w:marLeft w:val="0"/>
      <w:marRight w:val="0"/>
      <w:marTop w:val="0"/>
      <w:marBottom w:val="0"/>
      <w:divBdr>
        <w:top w:val="none" w:sz="0" w:space="0" w:color="auto"/>
        <w:left w:val="none" w:sz="0" w:space="0" w:color="auto"/>
        <w:bottom w:val="none" w:sz="0" w:space="0" w:color="auto"/>
        <w:right w:val="none" w:sz="0" w:space="0" w:color="auto"/>
      </w:divBdr>
    </w:div>
    <w:div w:id="1146820892">
      <w:marLeft w:val="0"/>
      <w:marRight w:val="0"/>
      <w:marTop w:val="0"/>
      <w:marBottom w:val="0"/>
      <w:divBdr>
        <w:top w:val="none" w:sz="0" w:space="0" w:color="auto"/>
        <w:left w:val="none" w:sz="0" w:space="0" w:color="auto"/>
        <w:bottom w:val="none" w:sz="0" w:space="0" w:color="auto"/>
        <w:right w:val="none" w:sz="0" w:space="0" w:color="auto"/>
      </w:divBdr>
    </w:div>
    <w:div w:id="1146820893">
      <w:marLeft w:val="0"/>
      <w:marRight w:val="0"/>
      <w:marTop w:val="0"/>
      <w:marBottom w:val="0"/>
      <w:divBdr>
        <w:top w:val="none" w:sz="0" w:space="0" w:color="auto"/>
        <w:left w:val="none" w:sz="0" w:space="0" w:color="auto"/>
        <w:bottom w:val="none" w:sz="0" w:space="0" w:color="auto"/>
        <w:right w:val="none" w:sz="0" w:space="0" w:color="auto"/>
      </w:divBdr>
    </w:div>
    <w:div w:id="1146820894">
      <w:marLeft w:val="0"/>
      <w:marRight w:val="0"/>
      <w:marTop w:val="0"/>
      <w:marBottom w:val="0"/>
      <w:divBdr>
        <w:top w:val="none" w:sz="0" w:space="0" w:color="auto"/>
        <w:left w:val="none" w:sz="0" w:space="0" w:color="auto"/>
        <w:bottom w:val="none" w:sz="0" w:space="0" w:color="auto"/>
        <w:right w:val="none" w:sz="0" w:space="0" w:color="auto"/>
      </w:divBdr>
    </w:div>
    <w:div w:id="1146820895">
      <w:marLeft w:val="0"/>
      <w:marRight w:val="0"/>
      <w:marTop w:val="0"/>
      <w:marBottom w:val="0"/>
      <w:divBdr>
        <w:top w:val="none" w:sz="0" w:space="0" w:color="auto"/>
        <w:left w:val="none" w:sz="0" w:space="0" w:color="auto"/>
        <w:bottom w:val="none" w:sz="0" w:space="0" w:color="auto"/>
        <w:right w:val="none" w:sz="0" w:space="0" w:color="auto"/>
      </w:divBdr>
    </w:div>
    <w:div w:id="1146820896">
      <w:marLeft w:val="0"/>
      <w:marRight w:val="0"/>
      <w:marTop w:val="0"/>
      <w:marBottom w:val="0"/>
      <w:divBdr>
        <w:top w:val="none" w:sz="0" w:space="0" w:color="auto"/>
        <w:left w:val="none" w:sz="0" w:space="0" w:color="auto"/>
        <w:bottom w:val="none" w:sz="0" w:space="0" w:color="auto"/>
        <w:right w:val="none" w:sz="0" w:space="0" w:color="auto"/>
      </w:divBdr>
    </w:div>
    <w:div w:id="1146820897">
      <w:marLeft w:val="0"/>
      <w:marRight w:val="0"/>
      <w:marTop w:val="0"/>
      <w:marBottom w:val="0"/>
      <w:divBdr>
        <w:top w:val="none" w:sz="0" w:space="0" w:color="auto"/>
        <w:left w:val="none" w:sz="0" w:space="0" w:color="auto"/>
        <w:bottom w:val="none" w:sz="0" w:space="0" w:color="auto"/>
        <w:right w:val="none" w:sz="0" w:space="0" w:color="auto"/>
      </w:divBdr>
    </w:div>
    <w:div w:id="1146820898">
      <w:marLeft w:val="0"/>
      <w:marRight w:val="0"/>
      <w:marTop w:val="0"/>
      <w:marBottom w:val="0"/>
      <w:divBdr>
        <w:top w:val="none" w:sz="0" w:space="0" w:color="auto"/>
        <w:left w:val="none" w:sz="0" w:space="0" w:color="auto"/>
        <w:bottom w:val="none" w:sz="0" w:space="0" w:color="auto"/>
        <w:right w:val="none" w:sz="0" w:space="0" w:color="auto"/>
      </w:divBdr>
    </w:div>
    <w:div w:id="1178500082">
      <w:bodyDiv w:val="1"/>
      <w:marLeft w:val="0"/>
      <w:marRight w:val="0"/>
      <w:marTop w:val="0"/>
      <w:marBottom w:val="0"/>
      <w:divBdr>
        <w:top w:val="none" w:sz="0" w:space="0" w:color="auto"/>
        <w:left w:val="none" w:sz="0" w:space="0" w:color="auto"/>
        <w:bottom w:val="none" w:sz="0" w:space="0" w:color="auto"/>
        <w:right w:val="none" w:sz="0" w:space="0" w:color="auto"/>
      </w:divBdr>
    </w:div>
    <w:div w:id="1217005730">
      <w:bodyDiv w:val="1"/>
      <w:marLeft w:val="0"/>
      <w:marRight w:val="0"/>
      <w:marTop w:val="0"/>
      <w:marBottom w:val="0"/>
      <w:divBdr>
        <w:top w:val="none" w:sz="0" w:space="0" w:color="auto"/>
        <w:left w:val="none" w:sz="0" w:space="0" w:color="auto"/>
        <w:bottom w:val="none" w:sz="0" w:space="0" w:color="auto"/>
        <w:right w:val="none" w:sz="0" w:space="0" w:color="auto"/>
      </w:divBdr>
    </w:div>
    <w:div w:id="1230847911">
      <w:bodyDiv w:val="1"/>
      <w:marLeft w:val="0"/>
      <w:marRight w:val="0"/>
      <w:marTop w:val="0"/>
      <w:marBottom w:val="0"/>
      <w:divBdr>
        <w:top w:val="none" w:sz="0" w:space="0" w:color="auto"/>
        <w:left w:val="none" w:sz="0" w:space="0" w:color="auto"/>
        <w:bottom w:val="none" w:sz="0" w:space="0" w:color="auto"/>
        <w:right w:val="none" w:sz="0" w:space="0" w:color="auto"/>
      </w:divBdr>
    </w:div>
    <w:div w:id="1280258994">
      <w:bodyDiv w:val="1"/>
      <w:marLeft w:val="0"/>
      <w:marRight w:val="0"/>
      <w:marTop w:val="0"/>
      <w:marBottom w:val="0"/>
      <w:divBdr>
        <w:top w:val="none" w:sz="0" w:space="0" w:color="auto"/>
        <w:left w:val="none" w:sz="0" w:space="0" w:color="auto"/>
        <w:bottom w:val="none" w:sz="0" w:space="0" w:color="auto"/>
        <w:right w:val="none" w:sz="0" w:space="0" w:color="auto"/>
      </w:divBdr>
    </w:div>
    <w:div w:id="1285581212">
      <w:bodyDiv w:val="1"/>
      <w:marLeft w:val="0"/>
      <w:marRight w:val="0"/>
      <w:marTop w:val="0"/>
      <w:marBottom w:val="0"/>
      <w:divBdr>
        <w:top w:val="none" w:sz="0" w:space="0" w:color="auto"/>
        <w:left w:val="none" w:sz="0" w:space="0" w:color="auto"/>
        <w:bottom w:val="none" w:sz="0" w:space="0" w:color="auto"/>
        <w:right w:val="none" w:sz="0" w:space="0" w:color="auto"/>
      </w:divBdr>
    </w:div>
    <w:div w:id="1299650200">
      <w:bodyDiv w:val="1"/>
      <w:marLeft w:val="0"/>
      <w:marRight w:val="0"/>
      <w:marTop w:val="0"/>
      <w:marBottom w:val="0"/>
      <w:divBdr>
        <w:top w:val="none" w:sz="0" w:space="0" w:color="auto"/>
        <w:left w:val="none" w:sz="0" w:space="0" w:color="auto"/>
        <w:bottom w:val="none" w:sz="0" w:space="0" w:color="auto"/>
        <w:right w:val="none" w:sz="0" w:space="0" w:color="auto"/>
      </w:divBdr>
    </w:div>
    <w:div w:id="1364869736">
      <w:bodyDiv w:val="1"/>
      <w:marLeft w:val="0"/>
      <w:marRight w:val="0"/>
      <w:marTop w:val="0"/>
      <w:marBottom w:val="0"/>
      <w:divBdr>
        <w:top w:val="none" w:sz="0" w:space="0" w:color="auto"/>
        <w:left w:val="none" w:sz="0" w:space="0" w:color="auto"/>
        <w:bottom w:val="none" w:sz="0" w:space="0" w:color="auto"/>
        <w:right w:val="none" w:sz="0" w:space="0" w:color="auto"/>
      </w:divBdr>
    </w:div>
    <w:div w:id="1415587059">
      <w:bodyDiv w:val="1"/>
      <w:marLeft w:val="0"/>
      <w:marRight w:val="0"/>
      <w:marTop w:val="0"/>
      <w:marBottom w:val="0"/>
      <w:divBdr>
        <w:top w:val="none" w:sz="0" w:space="0" w:color="auto"/>
        <w:left w:val="none" w:sz="0" w:space="0" w:color="auto"/>
        <w:bottom w:val="none" w:sz="0" w:space="0" w:color="auto"/>
        <w:right w:val="none" w:sz="0" w:space="0" w:color="auto"/>
      </w:divBdr>
    </w:div>
    <w:div w:id="1445536750">
      <w:bodyDiv w:val="1"/>
      <w:marLeft w:val="0"/>
      <w:marRight w:val="0"/>
      <w:marTop w:val="0"/>
      <w:marBottom w:val="0"/>
      <w:divBdr>
        <w:top w:val="none" w:sz="0" w:space="0" w:color="auto"/>
        <w:left w:val="none" w:sz="0" w:space="0" w:color="auto"/>
        <w:bottom w:val="none" w:sz="0" w:space="0" w:color="auto"/>
        <w:right w:val="none" w:sz="0" w:space="0" w:color="auto"/>
      </w:divBdr>
    </w:div>
    <w:div w:id="1465386016">
      <w:bodyDiv w:val="1"/>
      <w:marLeft w:val="0"/>
      <w:marRight w:val="0"/>
      <w:marTop w:val="0"/>
      <w:marBottom w:val="0"/>
      <w:divBdr>
        <w:top w:val="none" w:sz="0" w:space="0" w:color="auto"/>
        <w:left w:val="none" w:sz="0" w:space="0" w:color="auto"/>
        <w:bottom w:val="none" w:sz="0" w:space="0" w:color="auto"/>
        <w:right w:val="none" w:sz="0" w:space="0" w:color="auto"/>
      </w:divBdr>
    </w:div>
    <w:div w:id="1476026899">
      <w:bodyDiv w:val="1"/>
      <w:marLeft w:val="0"/>
      <w:marRight w:val="0"/>
      <w:marTop w:val="0"/>
      <w:marBottom w:val="0"/>
      <w:divBdr>
        <w:top w:val="none" w:sz="0" w:space="0" w:color="auto"/>
        <w:left w:val="none" w:sz="0" w:space="0" w:color="auto"/>
        <w:bottom w:val="none" w:sz="0" w:space="0" w:color="auto"/>
        <w:right w:val="none" w:sz="0" w:space="0" w:color="auto"/>
      </w:divBdr>
    </w:div>
    <w:div w:id="1690140558">
      <w:bodyDiv w:val="1"/>
      <w:marLeft w:val="0"/>
      <w:marRight w:val="0"/>
      <w:marTop w:val="0"/>
      <w:marBottom w:val="0"/>
      <w:divBdr>
        <w:top w:val="none" w:sz="0" w:space="0" w:color="auto"/>
        <w:left w:val="none" w:sz="0" w:space="0" w:color="auto"/>
        <w:bottom w:val="none" w:sz="0" w:space="0" w:color="auto"/>
        <w:right w:val="none" w:sz="0" w:space="0" w:color="auto"/>
      </w:divBdr>
    </w:div>
    <w:div w:id="1761678301">
      <w:bodyDiv w:val="1"/>
      <w:marLeft w:val="0"/>
      <w:marRight w:val="0"/>
      <w:marTop w:val="0"/>
      <w:marBottom w:val="0"/>
      <w:divBdr>
        <w:top w:val="none" w:sz="0" w:space="0" w:color="auto"/>
        <w:left w:val="none" w:sz="0" w:space="0" w:color="auto"/>
        <w:bottom w:val="none" w:sz="0" w:space="0" w:color="auto"/>
        <w:right w:val="none" w:sz="0" w:space="0" w:color="auto"/>
      </w:divBdr>
    </w:div>
    <w:div w:id="1764455287">
      <w:bodyDiv w:val="1"/>
      <w:marLeft w:val="0"/>
      <w:marRight w:val="0"/>
      <w:marTop w:val="0"/>
      <w:marBottom w:val="0"/>
      <w:divBdr>
        <w:top w:val="none" w:sz="0" w:space="0" w:color="auto"/>
        <w:left w:val="none" w:sz="0" w:space="0" w:color="auto"/>
        <w:bottom w:val="none" w:sz="0" w:space="0" w:color="auto"/>
        <w:right w:val="none" w:sz="0" w:space="0" w:color="auto"/>
      </w:divBdr>
    </w:div>
    <w:div w:id="1765035962">
      <w:bodyDiv w:val="1"/>
      <w:marLeft w:val="0"/>
      <w:marRight w:val="0"/>
      <w:marTop w:val="0"/>
      <w:marBottom w:val="0"/>
      <w:divBdr>
        <w:top w:val="none" w:sz="0" w:space="0" w:color="auto"/>
        <w:left w:val="none" w:sz="0" w:space="0" w:color="auto"/>
        <w:bottom w:val="none" w:sz="0" w:space="0" w:color="auto"/>
        <w:right w:val="none" w:sz="0" w:space="0" w:color="auto"/>
      </w:divBdr>
    </w:div>
    <w:div w:id="1767000318">
      <w:bodyDiv w:val="1"/>
      <w:marLeft w:val="0"/>
      <w:marRight w:val="0"/>
      <w:marTop w:val="0"/>
      <w:marBottom w:val="0"/>
      <w:divBdr>
        <w:top w:val="none" w:sz="0" w:space="0" w:color="auto"/>
        <w:left w:val="none" w:sz="0" w:space="0" w:color="auto"/>
        <w:bottom w:val="none" w:sz="0" w:space="0" w:color="auto"/>
        <w:right w:val="none" w:sz="0" w:space="0" w:color="auto"/>
      </w:divBdr>
    </w:div>
    <w:div w:id="1773865869">
      <w:bodyDiv w:val="1"/>
      <w:marLeft w:val="0"/>
      <w:marRight w:val="0"/>
      <w:marTop w:val="0"/>
      <w:marBottom w:val="0"/>
      <w:divBdr>
        <w:top w:val="none" w:sz="0" w:space="0" w:color="auto"/>
        <w:left w:val="none" w:sz="0" w:space="0" w:color="auto"/>
        <w:bottom w:val="none" w:sz="0" w:space="0" w:color="auto"/>
        <w:right w:val="none" w:sz="0" w:space="0" w:color="auto"/>
      </w:divBdr>
    </w:div>
    <w:div w:id="1825584155">
      <w:bodyDiv w:val="1"/>
      <w:marLeft w:val="0"/>
      <w:marRight w:val="0"/>
      <w:marTop w:val="0"/>
      <w:marBottom w:val="0"/>
      <w:divBdr>
        <w:top w:val="none" w:sz="0" w:space="0" w:color="auto"/>
        <w:left w:val="none" w:sz="0" w:space="0" w:color="auto"/>
        <w:bottom w:val="none" w:sz="0" w:space="0" w:color="auto"/>
        <w:right w:val="none" w:sz="0" w:space="0" w:color="auto"/>
      </w:divBdr>
    </w:div>
    <w:div w:id="1919174430">
      <w:bodyDiv w:val="1"/>
      <w:marLeft w:val="0"/>
      <w:marRight w:val="0"/>
      <w:marTop w:val="0"/>
      <w:marBottom w:val="0"/>
      <w:divBdr>
        <w:top w:val="none" w:sz="0" w:space="0" w:color="auto"/>
        <w:left w:val="none" w:sz="0" w:space="0" w:color="auto"/>
        <w:bottom w:val="none" w:sz="0" w:space="0" w:color="auto"/>
        <w:right w:val="none" w:sz="0" w:space="0" w:color="auto"/>
      </w:divBdr>
    </w:div>
    <w:div w:id="1957986216">
      <w:bodyDiv w:val="1"/>
      <w:marLeft w:val="0"/>
      <w:marRight w:val="0"/>
      <w:marTop w:val="0"/>
      <w:marBottom w:val="0"/>
      <w:divBdr>
        <w:top w:val="none" w:sz="0" w:space="0" w:color="auto"/>
        <w:left w:val="none" w:sz="0" w:space="0" w:color="auto"/>
        <w:bottom w:val="none" w:sz="0" w:space="0" w:color="auto"/>
        <w:right w:val="none" w:sz="0" w:space="0" w:color="auto"/>
      </w:divBdr>
    </w:div>
    <w:div w:id="1963069854">
      <w:bodyDiv w:val="1"/>
      <w:marLeft w:val="0"/>
      <w:marRight w:val="0"/>
      <w:marTop w:val="0"/>
      <w:marBottom w:val="0"/>
      <w:divBdr>
        <w:top w:val="none" w:sz="0" w:space="0" w:color="auto"/>
        <w:left w:val="none" w:sz="0" w:space="0" w:color="auto"/>
        <w:bottom w:val="none" w:sz="0" w:space="0" w:color="auto"/>
        <w:right w:val="none" w:sz="0" w:space="0" w:color="auto"/>
      </w:divBdr>
    </w:div>
    <w:div w:id="1982495807">
      <w:bodyDiv w:val="1"/>
      <w:marLeft w:val="0"/>
      <w:marRight w:val="0"/>
      <w:marTop w:val="0"/>
      <w:marBottom w:val="0"/>
      <w:divBdr>
        <w:top w:val="none" w:sz="0" w:space="0" w:color="auto"/>
        <w:left w:val="none" w:sz="0" w:space="0" w:color="auto"/>
        <w:bottom w:val="none" w:sz="0" w:space="0" w:color="auto"/>
        <w:right w:val="none" w:sz="0" w:space="0" w:color="auto"/>
      </w:divBdr>
    </w:div>
    <w:div w:id="1982877821">
      <w:bodyDiv w:val="1"/>
      <w:marLeft w:val="0"/>
      <w:marRight w:val="0"/>
      <w:marTop w:val="0"/>
      <w:marBottom w:val="0"/>
      <w:divBdr>
        <w:top w:val="none" w:sz="0" w:space="0" w:color="auto"/>
        <w:left w:val="none" w:sz="0" w:space="0" w:color="auto"/>
        <w:bottom w:val="none" w:sz="0" w:space="0" w:color="auto"/>
        <w:right w:val="none" w:sz="0" w:space="0" w:color="auto"/>
      </w:divBdr>
    </w:div>
    <w:div w:id="1996101726">
      <w:bodyDiv w:val="1"/>
      <w:marLeft w:val="0"/>
      <w:marRight w:val="0"/>
      <w:marTop w:val="0"/>
      <w:marBottom w:val="0"/>
      <w:divBdr>
        <w:top w:val="none" w:sz="0" w:space="0" w:color="auto"/>
        <w:left w:val="none" w:sz="0" w:space="0" w:color="auto"/>
        <w:bottom w:val="none" w:sz="0" w:space="0" w:color="auto"/>
        <w:right w:val="none" w:sz="0" w:space="0" w:color="auto"/>
      </w:divBdr>
    </w:div>
    <w:div w:id="2040546448">
      <w:bodyDiv w:val="1"/>
      <w:marLeft w:val="0"/>
      <w:marRight w:val="0"/>
      <w:marTop w:val="0"/>
      <w:marBottom w:val="0"/>
      <w:divBdr>
        <w:top w:val="none" w:sz="0" w:space="0" w:color="auto"/>
        <w:left w:val="none" w:sz="0" w:space="0" w:color="auto"/>
        <w:bottom w:val="none" w:sz="0" w:space="0" w:color="auto"/>
        <w:right w:val="none" w:sz="0" w:space="0" w:color="auto"/>
      </w:divBdr>
    </w:div>
    <w:div w:id="2047214412">
      <w:bodyDiv w:val="1"/>
      <w:marLeft w:val="0"/>
      <w:marRight w:val="0"/>
      <w:marTop w:val="0"/>
      <w:marBottom w:val="0"/>
      <w:divBdr>
        <w:top w:val="none" w:sz="0" w:space="0" w:color="auto"/>
        <w:left w:val="none" w:sz="0" w:space="0" w:color="auto"/>
        <w:bottom w:val="none" w:sz="0" w:space="0" w:color="auto"/>
        <w:right w:val="none" w:sz="0" w:space="0" w:color="auto"/>
      </w:divBdr>
    </w:div>
    <w:div w:id="20655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recovery-loan-sche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D06EE447BAA348B68B448EA51CDF03" ma:contentTypeVersion="13" ma:contentTypeDescription="Create a new document." ma:contentTypeScope="" ma:versionID="98347411cba915b839b2c17eb62f1a30">
  <xsd:schema xmlns:xsd="http://www.w3.org/2001/XMLSchema" xmlns:xs="http://www.w3.org/2001/XMLSchema" xmlns:p="http://schemas.microsoft.com/office/2006/metadata/properties" xmlns:ns3="e26c4e50-ea9b-4192-94d2-e70236926e53" xmlns:ns4="d3197d30-c7b6-4274-b863-7e34421eb7a1" targetNamespace="http://schemas.microsoft.com/office/2006/metadata/properties" ma:root="true" ma:fieldsID="291704a616f8caaa2d885fe443ef46c6" ns3:_="" ns4:_="">
    <xsd:import namespace="e26c4e50-ea9b-4192-94d2-e70236926e53"/>
    <xsd:import namespace="d3197d30-c7b6-4274-b863-7e34421eb7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c4e50-ea9b-4192-94d2-e70236926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97d30-c7b6-4274-b863-7e34421eb7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A114B-9405-E240-9AD3-408E6E625C5B}">
  <ds:schemaRefs>
    <ds:schemaRef ds:uri="http://schemas.openxmlformats.org/officeDocument/2006/bibliography"/>
  </ds:schemaRefs>
</ds:datastoreItem>
</file>

<file path=customXml/itemProps2.xml><?xml version="1.0" encoding="utf-8"?>
<ds:datastoreItem xmlns:ds="http://schemas.openxmlformats.org/officeDocument/2006/customXml" ds:itemID="{8D22FC5B-68B7-4C31-91EC-A10186A70E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CB0ED-C57E-4B69-9583-EDBB8A5F7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c4e50-ea9b-4192-94d2-e70236926e53"/>
    <ds:schemaRef ds:uri="d3197d30-c7b6-4274-b863-7e34421e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C0E36-0415-4C4F-9851-06EEEE170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1697</Words>
  <Characters>8951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10627</CharactersWithSpaces>
  <SharedDoc>false</SharedDoc>
  <HLinks>
    <vt:vector size="18" baseType="variant">
      <vt:variant>
        <vt:i4>7536685</vt:i4>
      </vt:variant>
      <vt:variant>
        <vt:i4>6</vt:i4>
      </vt:variant>
      <vt:variant>
        <vt:i4>0</vt:i4>
      </vt:variant>
      <vt:variant>
        <vt:i4>5</vt:i4>
      </vt:variant>
      <vt:variant>
        <vt:lpwstr>http://accainpractice.newsweaver.co.uk/accainpractice/1fl4ivaef1k1l3m8eceq63/external?a=6&amp;p=58787423&amp;t=30229336</vt:lpwstr>
      </vt:variant>
      <vt:variant>
        <vt:lpwstr/>
      </vt:variant>
      <vt:variant>
        <vt:i4>4522065</vt:i4>
      </vt:variant>
      <vt:variant>
        <vt:i4>3</vt:i4>
      </vt:variant>
      <vt:variant>
        <vt:i4>0</vt:i4>
      </vt:variant>
      <vt:variant>
        <vt:i4>5</vt:i4>
      </vt:variant>
      <vt:variant>
        <vt:lpwstr>https://www.accaglobal.com/uk/en/employer/recruit-acca-accounting-technician-apprentices.html</vt:lpwstr>
      </vt:variant>
      <vt:variant>
        <vt:lpwstr/>
      </vt:variant>
      <vt:variant>
        <vt:i4>4194387</vt:i4>
      </vt:variant>
      <vt:variant>
        <vt:i4>0</vt:i4>
      </vt:variant>
      <vt:variant>
        <vt:i4>0</vt:i4>
      </vt:variant>
      <vt:variant>
        <vt:i4>5</vt:i4>
      </vt:variant>
      <vt:variant>
        <vt:lpwstr>https://www.apprenticeships.gov.uk/employer/how-much-is-it-going-to-cost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Fraser</dc:creator>
  <cp:lastModifiedBy>Yogesh Dhanak</cp:lastModifiedBy>
  <cp:revision>67</cp:revision>
  <cp:lastPrinted>2021-03-03T20:36:00Z</cp:lastPrinted>
  <dcterms:created xsi:type="dcterms:W3CDTF">2023-11-28T08:16:00Z</dcterms:created>
  <dcterms:modified xsi:type="dcterms:W3CDTF">2024-03-06T18:47:00Z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0x010100D3D06EE447BAA348B68B448EA51CDF03</vt:lpwstr>
  </property>
</Properties>
</file>