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2AA2" w14:textId="77777777" w:rsidR="005439B6" w:rsidRPr="00242A37" w:rsidRDefault="005439B6" w:rsidP="00FA576A">
      <w:pPr>
        <w:rPr>
          <w:rFonts w:ascii="Arial" w:hAnsi="Arial" w:cs="Arial"/>
          <w:sz w:val="36"/>
          <w:szCs w:val="36"/>
        </w:rPr>
      </w:pPr>
    </w:p>
    <w:p w14:paraId="5F3AE119" w14:textId="2F79F332" w:rsidR="00DA1DD0" w:rsidRDefault="00DA1DD0" w:rsidP="00FA576A">
      <w:pPr>
        <w:rPr>
          <w:rFonts w:ascii="Arial" w:hAnsi="Arial" w:cs="Arial"/>
          <w:sz w:val="36"/>
          <w:szCs w:val="36"/>
        </w:rPr>
      </w:pPr>
      <w:r w:rsidRPr="00242A37">
        <w:rPr>
          <w:rFonts w:ascii="Arial" w:hAnsi="Arial" w:cs="Arial"/>
          <w:sz w:val="36"/>
          <w:szCs w:val="36"/>
        </w:rPr>
        <w:t xml:space="preserve">A </w:t>
      </w:r>
      <w:r w:rsidR="00214730" w:rsidRPr="00242A37">
        <w:rPr>
          <w:rFonts w:ascii="Arial" w:hAnsi="Arial" w:cs="Arial"/>
          <w:sz w:val="36"/>
          <w:szCs w:val="36"/>
        </w:rPr>
        <w:t>g</w:t>
      </w:r>
      <w:r w:rsidRPr="00242A37">
        <w:rPr>
          <w:rFonts w:ascii="Arial" w:hAnsi="Arial" w:cs="Arial"/>
          <w:sz w:val="36"/>
          <w:szCs w:val="36"/>
        </w:rPr>
        <w:t>uide to</w:t>
      </w:r>
      <w:r w:rsidR="00A75D98" w:rsidRPr="00242A37">
        <w:rPr>
          <w:rFonts w:ascii="Arial" w:hAnsi="Arial" w:cs="Arial"/>
          <w:sz w:val="36"/>
          <w:szCs w:val="36"/>
        </w:rPr>
        <w:t xml:space="preserve"> </w:t>
      </w:r>
      <w:r w:rsidR="00020C9A" w:rsidRPr="00242A37">
        <w:rPr>
          <w:rFonts w:ascii="Arial" w:hAnsi="Arial" w:cs="Arial"/>
          <w:sz w:val="36"/>
          <w:szCs w:val="36"/>
        </w:rPr>
        <w:t xml:space="preserve">the </w:t>
      </w:r>
      <w:r w:rsidR="00484C90">
        <w:rPr>
          <w:rFonts w:ascii="Arial" w:hAnsi="Arial" w:cs="Arial"/>
          <w:sz w:val="36"/>
          <w:szCs w:val="36"/>
        </w:rPr>
        <w:t xml:space="preserve">Autumn Statement </w:t>
      </w:r>
      <w:r w:rsidR="001821EC">
        <w:rPr>
          <w:rFonts w:ascii="Arial" w:hAnsi="Arial" w:cs="Arial"/>
          <w:sz w:val="36"/>
          <w:szCs w:val="36"/>
        </w:rPr>
        <w:t>2023</w:t>
      </w:r>
    </w:p>
    <w:p w14:paraId="1376B1BA" w14:textId="1FAA0E26" w:rsidR="001B61EE" w:rsidRPr="002D7602" w:rsidRDefault="001B61EE" w:rsidP="00FA576A">
      <w:pPr>
        <w:rPr>
          <w:rFonts w:ascii="Arial" w:hAnsi="Arial" w:cs="Arial"/>
          <w:iCs/>
        </w:rPr>
      </w:pPr>
      <w:r w:rsidRPr="002D7602">
        <w:rPr>
          <w:rFonts w:ascii="Arial" w:hAnsi="Arial" w:cs="Arial"/>
        </w:rPr>
        <w:t>(including key announcements from the Spring Budget</w:t>
      </w:r>
      <w:r w:rsidR="002D7602" w:rsidRPr="002D7602">
        <w:rPr>
          <w:rFonts w:ascii="Arial" w:hAnsi="Arial" w:cs="Arial"/>
        </w:rPr>
        <w:t xml:space="preserve"> coming into effect next year)</w:t>
      </w:r>
    </w:p>
    <w:p w14:paraId="70DA7803" w14:textId="77777777" w:rsidR="00DA1DD0" w:rsidRPr="00242A37" w:rsidRDefault="00DA1DD0" w:rsidP="00FA576A">
      <w:pPr>
        <w:pStyle w:val="Heading3"/>
        <w:spacing w:before="0" w:after="0"/>
        <w:rPr>
          <w:bCs w:val="0"/>
          <w:sz w:val="20"/>
        </w:rPr>
      </w:pPr>
    </w:p>
    <w:p w14:paraId="5409AAFC" w14:textId="77777777" w:rsidR="00CA3F40" w:rsidRPr="00242A37" w:rsidRDefault="0065704D" w:rsidP="00696368">
      <w:pPr>
        <w:pStyle w:val="xmsonormal"/>
        <w:rPr>
          <w:rFonts w:ascii="Arial" w:hAnsi="Arial" w:cs="Arial"/>
          <w:b/>
          <w:bCs/>
        </w:rPr>
      </w:pPr>
      <w:r w:rsidRPr="00242A37">
        <w:rPr>
          <w:rFonts w:ascii="Arial" w:hAnsi="Arial" w:cs="Arial"/>
          <w:b/>
          <w:bCs/>
        </w:rPr>
        <w:t xml:space="preserve">The </w:t>
      </w:r>
      <w:r w:rsidR="009D0D08" w:rsidRPr="00242A37">
        <w:rPr>
          <w:rFonts w:ascii="Arial" w:hAnsi="Arial" w:cs="Arial"/>
          <w:b/>
          <w:bCs/>
        </w:rPr>
        <w:t xml:space="preserve">headline </w:t>
      </w:r>
      <w:r w:rsidRPr="00242A37">
        <w:rPr>
          <w:rFonts w:ascii="Arial" w:hAnsi="Arial" w:cs="Arial"/>
          <w:b/>
          <w:bCs/>
        </w:rPr>
        <w:t>message from the Chancellor</w:t>
      </w:r>
    </w:p>
    <w:p w14:paraId="5F5B5024" w14:textId="77777777" w:rsidR="00CA3F40" w:rsidRPr="005833A9" w:rsidRDefault="00CA3F40" w:rsidP="00212307">
      <w:pPr>
        <w:pStyle w:val="xmsonormal"/>
        <w:rPr>
          <w:rFonts w:ascii="Arial" w:eastAsia="Times New Roman" w:hAnsi="Arial" w:cs="Arial"/>
          <w:lang w:eastAsia="en-US"/>
        </w:rPr>
      </w:pPr>
    </w:p>
    <w:p w14:paraId="3E7CC32D" w14:textId="32CEBAE1" w:rsidR="005833A9" w:rsidRPr="005833A9" w:rsidRDefault="005833A9" w:rsidP="00212307">
      <w:pPr>
        <w:pStyle w:val="xmsonormal"/>
        <w:rPr>
          <w:rFonts w:ascii="Arial" w:eastAsia="Times New Roman" w:hAnsi="Arial" w:cs="Arial"/>
          <w:lang w:eastAsia="en-US"/>
        </w:rPr>
      </w:pPr>
      <w:r w:rsidRPr="005833A9">
        <w:rPr>
          <w:rFonts w:ascii="Arial" w:eastAsia="Times New Roman" w:hAnsi="Arial" w:cs="Arial"/>
          <w:lang w:eastAsia="en-US"/>
        </w:rPr>
        <w:t>The Chancellor delivered his Autumn Statement for Growth aimed at building a stronger and more resilient economy. He highlighted that the plan is to “unlock growth and productivity by boosting business investment by £20 billion a year, getting more people into work, and cutting tax for 29 million workers”</w:t>
      </w:r>
      <w:r w:rsidR="00011A69">
        <w:rPr>
          <w:rFonts w:ascii="Arial" w:eastAsia="Times New Roman" w:hAnsi="Arial" w:cs="Arial"/>
          <w:lang w:eastAsia="en-US"/>
        </w:rPr>
        <w:t>.</w:t>
      </w:r>
    </w:p>
    <w:p w14:paraId="35A8811F" w14:textId="77777777" w:rsidR="00212307" w:rsidRPr="005833A9" w:rsidRDefault="00212307" w:rsidP="009369B1">
      <w:pPr>
        <w:rPr>
          <w:rFonts w:ascii="Arial" w:hAnsi="Arial" w:cs="Arial"/>
          <w:sz w:val="22"/>
          <w:szCs w:val="22"/>
        </w:rPr>
      </w:pPr>
    </w:p>
    <w:p w14:paraId="13375258" w14:textId="6AB576FA" w:rsidR="004261C3" w:rsidRPr="005833A9" w:rsidRDefault="004261C3" w:rsidP="004261C3">
      <w:pPr>
        <w:pStyle w:val="Heading1"/>
        <w:shd w:val="clear" w:color="auto" w:fill="FFFFFF"/>
        <w:rPr>
          <w:rFonts w:ascii="Arial" w:hAnsi="Arial" w:cs="Arial"/>
          <w:b w:val="0"/>
          <w:bCs w:val="0"/>
          <w:sz w:val="22"/>
          <w:szCs w:val="22"/>
        </w:rPr>
      </w:pPr>
    </w:p>
    <w:p w14:paraId="481A9C4D" w14:textId="77777777" w:rsidR="00CA3F40" w:rsidRPr="00242A37" w:rsidRDefault="00CA3F40" w:rsidP="0065704D">
      <w:pPr>
        <w:rPr>
          <w:rFonts w:ascii="Arial" w:hAnsi="Arial" w:cs="Arial"/>
          <w:sz w:val="22"/>
          <w:szCs w:val="22"/>
        </w:rPr>
      </w:pPr>
    </w:p>
    <w:p w14:paraId="3A233535" w14:textId="310A5281" w:rsidR="00CA3F40" w:rsidRPr="00242A37" w:rsidRDefault="00CA3F40" w:rsidP="0065704D">
      <w:pPr>
        <w:rPr>
          <w:rFonts w:ascii="Arial" w:hAnsi="Arial" w:cs="Arial"/>
          <w:sz w:val="22"/>
          <w:szCs w:val="22"/>
        </w:rPr>
      </w:pPr>
    </w:p>
    <w:p w14:paraId="740BEF42" w14:textId="08E6B35C" w:rsidR="00F7510D" w:rsidRPr="00242A37" w:rsidRDefault="00F7510D" w:rsidP="0065704D">
      <w:pPr>
        <w:rPr>
          <w:rFonts w:ascii="Arial" w:hAnsi="Arial" w:cs="Arial"/>
          <w:sz w:val="22"/>
          <w:szCs w:val="22"/>
        </w:rPr>
      </w:pPr>
    </w:p>
    <w:p w14:paraId="157B97FB" w14:textId="41823D91" w:rsidR="00F7510D" w:rsidRPr="00242A37" w:rsidRDefault="00F7510D" w:rsidP="0065704D">
      <w:pPr>
        <w:rPr>
          <w:rFonts w:ascii="Arial" w:hAnsi="Arial" w:cs="Arial"/>
          <w:sz w:val="22"/>
          <w:szCs w:val="22"/>
        </w:rPr>
      </w:pPr>
    </w:p>
    <w:p w14:paraId="3C80C528" w14:textId="3318756F" w:rsidR="00F7510D" w:rsidRPr="00242A37" w:rsidRDefault="00F7510D" w:rsidP="0065704D">
      <w:pPr>
        <w:rPr>
          <w:rFonts w:ascii="Arial" w:hAnsi="Arial" w:cs="Arial"/>
          <w:sz w:val="22"/>
          <w:szCs w:val="22"/>
        </w:rPr>
      </w:pPr>
    </w:p>
    <w:p w14:paraId="4C5DFE5D" w14:textId="4CF403DC" w:rsidR="00F7510D" w:rsidRPr="00242A37" w:rsidRDefault="00F7510D" w:rsidP="0065704D">
      <w:pPr>
        <w:rPr>
          <w:rFonts w:ascii="Arial" w:hAnsi="Arial" w:cs="Arial"/>
          <w:sz w:val="22"/>
          <w:szCs w:val="22"/>
        </w:rPr>
      </w:pPr>
    </w:p>
    <w:p w14:paraId="4844F31A" w14:textId="182F00AB" w:rsidR="00F7510D" w:rsidRPr="00242A37" w:rsidRDefault="00F7510D" w:rsidP="0065704D">
      <w:pPr>
        <w:rPr>
          <w:rFonts w:ascii="Arial" w:hAnsi="Arial" w:cs="Arial"/>
          <w:sz w:val="22"/>
          <w:szCs w:val="22"/>
        </w:rPr>
      </w:pPr>
    </w:p>
    <w:p w14:paraId="5E3959E4" w14:textId="593A5B64" w:rsidR="00F7510D" w:rsidRPr="00242A37" w:rsidRDefault="00F7510D" w:rsidP="0065704D">
      <w:pPr>
        <w:rPr>
          <w:rFonts w:ascii="Arial" w:hAnsi="Arial" w:cs="Arial"/>
          <w:sz w:val="22"/>
          <w:szCs w:val="22"/>
        </w:rPr>
      </w:pPr>
    </w:p>
    <w:p w14:paraId="2ED0E3D2" w14:textId="1EC0B6A0" w:rsidR="00F7510D" w:rsidRPr="00242A37" w:rsidRDefault="00F7510D" w:rsidP="0065704D">
      <w:pPr>
        <w:rPr>
          <w:rFonts w:ascii="Arial" w:hAnsi="Arial" w:cs="Arial"/>
          <w:sz w:val="22"/>
          <w:szCs w:val="22"/>
        </w:rPr>
      </w:pPr>
    </w:p>
    <w:p w14:paraId="622AC89A" w14:textId="1E5EA9CB" w:rsidR="00F7510D" w:rsidRPr="00242A37" w:rsidRDefault="00F7510D" w:rsidP="0065704D">
      <w:pPr>
        <w:rPr>
          <w:rFonts w:ascii="Arial" w:hAnsi="Arial" w:cs="Arial"/>
          <w:sz w:val="22"/>
          <w:szCs w:val="22"/>
        </w:rPr>
      </w:pPr>
    </w:p>
    <w:p w14:paraId="30A48F2A" w14:textId="3414FD80" w:rsidR="00F7510D" w:rsidRPr="00242A37" w:rsidRDefault="00F7510D" w:rsidP="0065704D">
      <w:pPr>
        <w:rPr>
          <w:rFonts w:ascii="Arial" w:hAnsi="Arial" w:cs="Arial"/>
          <w:sz w:val="22"/>
          <w:szCs w:val="22"/>
        </w:rPr>
      </w:pPr>
    </w:p>
    <w:p w14:paraId="25BB681A" w14:textId="77777777" w:rsidR="00DC63C1" w:rsidRPr="00242A37" w:rsidRDefault="00DC63C1" w:rsidP="0065704D">
      <w:pPr>
        <w:rPr>
          <w:rFonts w:ascii="Arial" w:hAnsi="Arial" w:cs="Arial"/>
          <w:sz w:val="22"/>
          <w:szCs w:val="22"/>
        </w:rPr>
      </w:pPr>
    </w:p>
    <w:p w14:paraId="7E23A7D4" w14:textId="77777777" w:rsidR="00DC63C1" w:rsidRPr="00242A37" w:rsidRDefault="00DC63C1" w:rsidP="0065704D">
      <w:pPr>
        <w:rPr>
          <w:rFonts w:ascii="Arial" w:hAnsi="Arial" w:cs="Arial"/>
          <w:sz w:val="22"/>
          <w:szCs w:val="22"/>
        </w:rPr>
      </w:pPr>
    </w:p>
    <w:p w14:paraId="158C5E55" w14:textId="77777777" w:rsidR="00DC63C1" w:rsidRPr="00242A37" w:rsidRDefault="00DC63C1" w:rsidP="0065704D">
      <w:pPr>
        <w:rPr>
          <w:rFonts w:ascii="Arial" w:hAnsi="Arial" w:cs="Arial"/>
          <w:sz w:val="22"/>
          <w:szCs w:val="22"/>
        </w:rPr>
      </w:pPr>
    </w:p>
    <w:p w14:paraId="6CBE62C0" w14:textId="77777777" w:rsidR="00DC63C1" w:rsidRPr="00242A37" w:rsidRDefault="00DC63C1" w:rsidP="0065704D">
      <w:pPr>
        <w:rPr>
          <w:rFonts w:ascii="Arial" w:hAnsi="Arial" w:cs="Arial"/>
          <w:sz w:val="22"/>
          <w:szCs w:val="22"/>
        </w:rPr>
      </w:pPr>
    </w:p>
    <w:p w14:paraId="35777E9B" w14:textId="77777777" w:rsidR="00DC63C1" w:rsidRPr="00242A37" w:rsidRDefault="00DC63C1" w:rsidP="0065704D">
      <w:pPr>
        <w:rPr>
          <w:rFonts w:ascii="Arial" w:hAnsi="Arial" w:cs="Arial"/>
          <w:sz w:val="22"/>
          <w:szCs w:val="22"/>
        </w:rPr>
      </w:pPr>
    </w:p>
    <w:p w14:paraId="048DF18B" w14:textId="77777777" w:rsidR="00DC63C1" w:rsidRPr="00242A37" w:rsidRDefault="00DC63C1" w:rsidP="0065704D">
      <w:pPr>
        <w:rPr>
          <w:rFonts w:ascii="Arial" w:hAnsi="Arial" w:cs="Arial"/>
          <w:sz w:val="22"/>
          <w:szCs w:val="22"/>
        </w:rPr>
      </w:pPr>
    </w:p>
    <w:p w14:paraId="1F813258" w14:textId="77777777" w:rsidR="00DC63C1" w:rsidRPr="00242A37" w:rsidRDefault="00DC63C1" w:rsidP="0065704D">
      <w:pPr>
        <w:rPr>
          <w:rFonts w:ascii="Arial" w:hAnsi="Arial" w:cs="Arial"/>
          <w:sz w:val="22"/>
          <w:szCs w:val="22"/>
        </w:rPr>
      </w:pPr>
    </w:p>
    <w:p w14:paraId="3E8E6AE5" w14:textId="77777777" w:rsidR="00B63D6B" w:rsidRDefault="00B63D6B" w:rsidP="0065704D">
      <w:pPr>
        <w:rPr>
          <w:rFonts w:ascii="Arial" w:hAnsi="Arial" w:cs="Arial"/>
          <w:sz w:val="22"/>
          <w:szCs w:val="22"/>
        </w:rPr>
      </w:pPr>
    </w:p>
    <w:p w14:paraId="542457E3" w14:textId="77777777" w:rsidR="00B63D6B" w:rsidRDefault="00B63D6B" w:rsidP="0065704D">
      <w:pPr>
        <w:rPr>
          <w:rFonts w:ascii="Arial" w:hAnsi="Arial" w:cs="Arial"/>
          <w:sz w:val="22"/>
          <w:szCs w:val="22"/>
        </w:rPr>
      </w:pPr>
    </w:p>
    <w:p w14:paraId="3F5D656B" w14:textId="77777777" w:rsidR="00B63D6B" w:rsidRDefault="00B63D6B" w:rsidP="0065704D">
      <w:pPr>
        <w:rPr>
          <w:rFonts w:ascii="Arial" w:hAnsi="Arial" w:cs="Arial"/>
          <w:sz w:val="22"/>
          <w:szCs w:val="22"/>
        </w:rPr>
      </w:pPr>
    </w:p>
    <w:p w14:paraId="6F9FA8AE" w14:textId="23643EF3" w:rsidR="0065704D" w:rsidRDefault="009E564F" w:rsidP="0065704D">
      <w:pPr>
        <w:rPr>
          <w:rFonts w:ascii="Arial" w:hAnsi="Arial" w:cs="Arial"/>
          <w:sz w:val="22"/>
          <w:szCs w:val="22"/>
        </w:rPr>
      </w:pPr>
      <w:r>
        <w:rPr>
          <w:rFonts w:ascii="Arial" w:hAnsi="Arial" w:cs="Arial"/>
          <w:sz w:val="22"/>
          <w:szCs w:val="22"/>
        </w:rPr>
        <w:t>Key</w:t>
      </w:r>
      <w:r w:rsidR="00CA3F40" w:rsidRPr="00242A37">
        <w:rPr>
          <w:rFonts w:ascii="Arial" w:hAnsi="Arial" w:cs="Arial"/>
          <w:sz w:val="22"/>
          <w:szCs w:val="22"/>
        </w:rPr>
        <w:t xml:space="preserve"> measures announced by the Chancellor </w:t>
      </w:r>
      <w:r w:rsidR="00B06890">
        <w:rPr>
          <w:rFonts w:ascii="Arial" w:hAnsi="Arial" w:cs="Arial"/>
          <w:sz w:val="22"/>
          <w:szCs w:val="22"/>
        </w:rPr>
        <w:t xml:space="preserve">in the Autumn Statement </w:t>
      </w:r>
      <w:r>
        <w:rPr>
          <w:rFonts w:ascii="Arial" w:hAnsi="Arial" w:cs="Arial"/>
          <w:sz w:val="22"/>
          <w:szCs w:val="22"/>
        </w:rPr>
        <w:t>are summarised within this Guide.</w:t>
      </w:r>
      <w:r w:rsidR="00B06890">
        <w:rPr>
          <w:rFonts w:ascii="Arial" w:hAnsi="Arial" w:cs="Arial"/>
          <w:sz w:val="22"/>
          <w:szCs w:val="22"/>
        </w:rPr>
        <w:t xml:space="preserve"> It also includes a reminder of some previous announcements </w:t>
      </w:r>
      <w:r w:rsidR="001E399C">
        <w:rPr>
          <w:rFonts w:ascii="Arial" w:hAnsi="Arial" w:cs="Arial"/>
          <w:sz w:val="22"/>
          <w:szCs w:val="22"/>
        </w:rPr>
        <w:t>that will be taking effect from next April or later.</w:t>
      </w:r>
    </w:p>
    <w:p w14:paraId="40870EED" w14:textId="77777777" w:rsidR="007E4E94" w:rsidRDefault="007E4E94" w:rsidP="0065704D">
      <w:pPr>
        <w:rPr>
          <w:rFonts w:ascii="Arial" w:hAnsi="Arial" w:cs="Arial"/>
          <w:sz w:val="22"/>
          <w:szCs w:val="22"/>
        </w:rPr>
      </w:pPr>
    </w:p>
    <w:p w14:paraId="11883E67" w14:textId="77777777" w:rsidR="00011A69" w:rsidRDefault="00011A69" w:rsidP="0065704D">
      <w:pPr>
        <w:rPr>
          <w:rFonts w:ascii="Arial" w:hAnsi="Arial" w:cs="Arial"/>
          <w:b/>
          <w:bCs/>
          <w:sz w:val="28"/>
          <w:szCs w:val="28"/>
        </w:rPr>
      </w:pPr>
    </w:p>
    <w:p w14:paraId="793303E7" w14:textId="759934B7" w:rsidR="007E4E94" w:rsidRPr="00A548BC" w:rsidRDefault="00A548BC" w:rsidP="0065704D">
      <w:pPr>
        <w:rPr>
          <w:rFonts w:ascii="Arial" w:hAnsi="Arial" w:cs="Arial"/>
          <w:b/>
          <w:bCs/>
          <w:sz w:val="28"/>
          <w:szCs w:val="28"/>
        </w:rPr>
      </w:pPr>
      <w:r w:rsidRPr="00A548BC">
        <w:rPr>
          <w:rFonts w:ascii="Arial" w:hAnsi="Arial" w:cs="Arial"/>
          <w:b/>
          <w:bCs/>
          <w:sz w:val="28"/>
          <w:szCs w:val="28"/>
        </w:rPr>
        <w:lastRenderedPageBreak/>
        <w:t>BUSINESSES</w:t>
      </w:r>
    </w:p>
    <w:p w14:paraId="2E182C50" w14:textId="77777777" w:rsidR="004F6E4A" w:rsidRDefault="004F6E4A" w:rsidP="0065704D">
      <w:pPr>
        <w:rPr>
          <w:rFonts w:ascii="Arial" w:hAnsi="Arial" w:cs="Arial"/>
          <w:sz w:val="22"/>
          <w:szCs w:val="22"/>
        </w:rPr>
      </w:pPr>
    </w:p>
    <w:p w14:paraId="29DF1B32" w14:textId="254AC867" w:rsidR="00B70B0D" w:rsidRPr="00B70B0D" w:rsidRDefault="00B70B0D" w:rsidP="00B70B0D">
      <w:pPr>
        <w:rPr>
          <w:rFonts w:ascii="Arial" w:hAnsi="Arial" w:cs="Arial"/>
          <w:b/>
          <w:bCs/>
          <w:sz w:val="22"/>
          <w:szCs w:val="22"/>
        </w:rPr>
      </w:pPr>
      <w:r w:rsidRPr="00B70B0D">
        <w:rPr>
          <w:rFonts w:ascii="Arial" w:hAnsi="Arial" w:cs="Arial"/>
          <w:b/>
          <w:bCs/>
          <w:sz w:val="22"/>
          <w:szCs w:val="22"/>
        </w:rPr>
        <w:t>‘Full expensing’ deduction</w:t>
      </w:r>
    </w:p>
    <w:p w14:paraId="68BE0A24" w14:textId="1CF8D32B" w:rsidR="003422BD" w:rsidRDefault="00274FE0" w:rsidP="00B70B0D">
      <w:pPr>
        <w:rPr>
          <w:rFonts w:ascii="Arial" w:hAnsi="Arial" w:cs="Arial"/>
          <w:sz w:val="22"/>
          <w:szCs w:val="22"/>
        </w:rPr>
      </w:pPr>
      <w:r w:rsidRPr="00B32A8D">
        <w:rPr>
          <w:rFonts w:ascii="Arial" w:hAnsi="Arial" w:cs="Arial"/>
          <w:sz w:val="22"/>
          <w:szCs w:val="22"/>
        </w:rPr>
        <w:t xml:space="preserve">The </w:t>
      </w:r>
      <w:r w:rsidR="003422BD" w:rsidRPr="00B32A8D">
        <w:rPr>
          <w:rFonts w:ascii="Arial" w:hAnsi="Arial" w:cs="Arial"/>
          <w:sz w:val="22"/>
          <w:szCs w:val="22"/>
        </w:rPr>
        <w:t xml:space="preserve">new ‘Full Expensing’ deduction announced from 1 April 2023 </w:t>
      </w:r>
      <w:r w:rsidRPr="00B32A8D">
        <w:rPr>
          <w:rFonts w:ascii="Arial" w:hAnsi="Arial" w:cs="Arial"/>
          <w:sz w:val="22"/>
          <w:szCs w:val="22"/>
        </w:rPr>
        <w:t xml:space="preserve">and originally intended to last </w:t>
      </w:r>
      <w:r w:rsidR="003422BD" w:rsidRPr="00B32A8D">
        <w:rPr>
          <w:rFonts w:ascii="Arial" w:hAnsi="Arial" w:cs="Arial"/>
          <w:sz w:val="22"/>
          <w:szCs w:val="22"/>
        </w:rPr>
        <w:t>until 31 March 2026</w:t>
      </w:r>
      <w:r w:rsidRPr="00B32A8D">
        <w:rPr>
          <w:rFonts w:ascii="Arial" w:hAnsi="Arial" w:cs="Arial"/>
          <w:sz w:val="22"/>
          <w:szCs w:val="22"/>
        </w:rPr>
        <w:t xml:space="preserve"> </w:t>
      </w:r>
      <w:r w:rsidR="002E5807" w:rsidRPr="00B32A8D">
        <w:rPr>
          <w:rFonts w:ascii="Arial" w:hAnsi="Arial" w:cs="Arial"/>
          <w:sz w:val="22"/>
          <w:szCs w:val="22"/>
        </w:rPr>
        <w:t xml:space="preserve">will be </w:t>
      </w:r>
      <w:r w:rsidRPr="00B32A8D">
        <w:rPr>
          <w:rFonts w:ascii="Arial" w:hAnsi="Arial" w:cs="Arial"/>
          <w:sz w:val="22"/>
          <w:szCs w:val="22"/>
        </w:rPr>
        <w:t>made permanent</w:t>
      </w:r>
      <w:r w:rsidR="00B32A8D" w:rsidRPr="00B32A8D">
        <w:rPr>
          <w:rFonts w:ascii="Arial" w:hAnsi="Arial" w:cs="Arial"/>
          <w:sz w:val="22"/>
          <w:szCs w:val="22"/>
        </w:rPr>
        <w:t xml:space="preserve"> through </w:t>
      </w:r>
      <w:r w:rsidR="00B32A8D" w:rsidRPr="00B32A8D">
        <w:rPr>
          <w:rFonts w:ascii="Arial" w:hAnsi="Arial" w:cs="Arial"/>
          <w:color w:val="0B0C0C"/>
          <w:sz w:val="22"/>
          <w:szCs w:val="22"/>
          <w:shd w:val="clear" w:color="auto" w:fill="FFFFFF"/>
        </w:rPr>
        <w:t>legislation in the Autumn Finance Bill to remove the 2026 end date</w:t>
      </w:r>
      <w:r w:rsidR="003422BD" w:rsidRPr="00B32A8D">
        <w:rPr>
          <w:rFonts w:ascii="Arial" w:hAnsi="Arial" w:cs="Arial"/>
          <w:sz w:val="22"/>
          <w:szCs w:val="22"/>
        </w:rPr>
        <w:t>. The relief allows companies to claim 100% first-year deduction from profit before tax (50% for special pool rate) on qualifying new main</w:t>
      </w:r>
      <w:r w:rsidR="001D26CC" w:rsidRPr="00B32A8D">
        <w:rPr>
          <w:rFonts w:ascii="Arial" w:hAnsi="Arial" w:cs="Arial"/>
          <w:sz w:val="22"/>
          <w:szCs w:val="22"/>
        </w:rPr>
        <w:t>-</w:t>
      </w:r>
      <w:r w:rsidR="003422BD" w:rsidRPr="00B32A8D">
        <w:rPr>
          <w:rFonts w:ascii="Arial" w:hAnsi="Arial" w:cs="Arial"/>
          <w:sz w:val="22"/>
          <w:szCs w:val="22"/>
        </w:rPr>
        <w:t>rate plant and machinery investments. </w:t>
      </w:r>
    </w:p>
    <w:p w14:paraId="000286E3" w14:textId="77777777" w:rsidR="004F6E4A" w:rsidRDefault="004F6E4A" w:rsidP="00B70B0D">
      <w:pPr>
        <w:rPr>
          <w:rFonts w:ascii="Arial" w:hAnsi="Arial" w:cs="Arial"/>
          <w:sz w:val="22"/>
          <w:szCs w:val="22"/>
        </w:rPr>
      </w:pPr>
    </w:p>
    <w:p w14:paraId="042CE6F1" w14:textId="77777777" w:rsidR="004F6E4A" w:rsidRPr="00277788" w:rsidRDefault="004F6E4A" w:rsidP="004F6E4A">
      <w:pPr>
        <w:rPr>
          <w:rFonts w:ascii="Arial" w:hAnsi="Arial" w:cs="Arial"/>
          <w:b/>
          <w:bCs/>
          <w:sz w:val="22"/>
          <w:szCs w:val="22"/>
        </w:rPr>
      </w:pPr>
      <w:r w:rsidRPr="00277788">
        <w:rPr>
          <w:rFonts w:ascii="Arial" w:hAnsi="Arial" w:cs="Arial"/>
          <w:b/>
          <w:bCs/>
          <w:sz w:val="22"/>
          <w:szCs w:val="22"/>
        </w:rPr>
        <w:t>Annual Investment Allowances</w:t>
      </w:r>
    </w:p>
    <w:p w14:paraId="49A45D9A" w14:textId="77777777" w:rsidR="004F6E4A" w:rsidRDefault="004F6E4A" w:rsidP="004F6E4A">
      <w:pPr>
        <w:rPr>
          <w:rFonts w:ascii="Arial" w:hAnsi="Arial" w:cs="Arial"/>
          <w:sz w:val="22"/>
          <w:szCs w:val="22"/>
        </w:rPr>
      </w:pPr>
      <w:r w:rsidRPr="004F6E4A">
        <w:rPr>
          <w:rFonts w:ascii="Arial" w:hAnsi="Arial" w:cs="Arial"/>
          <w:sz w:val="22"/>
          <w:szCs w:val="22"/>
        </w:rPr>
        <w:t>Annual Investment Allowance was previously confirmed at a permanent rate of £1m from April 2023.</w:t>
      </w:r>
      <w:r w:rsidRPr="00277788">
        <w:rPr>
          <w:rFonts w:ascii="Arial" w:hAnsi="Arial" w:cs="Arial"/>
          <w:sz w:val="22"/>
          <w:szCs w:val="22"/>
        </w:rPr>
        <w:t xml:space="preserve"> </w:t>
      </w:r>
    </w:p>
    <w:p w14:paraId="2885130F" w14:textId="77777777" w:rsidR="003422BD" w:rsidRDefault="003422BD" w:rsidP="00B70B0D">
      <w:pPr>
        <w:rPr>
          <w:rFonts w:ascii="Arial" w:hAnsi="Arial" w:cs="Arial"/>
          <w:sz w:val="22"/>
          <w:szCs w:val="22"/>
        </w:rPr>
      </w:pPr>
    </w:p>
    <w:p w14:paraId="761ABD40" w14:textId="1A75F5F6" w:rsidR="00B70B0D" w:rsidRPr="004B1606" w:rsidRDefault="00B70B0D" w:rsidP="00B70B0D">
      <w:pPr>
        <w:rPr>
          <w:rFonts w:ascii="Arial" w:hAnsi="Arial" w:cs="Arial"/>
          <w:b/>
          <w:bCs/>
          <w:sz w:val="22"/>
          <w:szCs w:val="22"/>
        </w:rPr>
      </w:pPr>
      <w:r w:rsidRPr="004B1606">
        <w:rPr>
          <w:rFonts w:ascii="Arial" w:hAnsi="Arial" w:cs="Arial"/>
          <w:b/>
          <w:bCs/>
          <w:sz w:val="22"/>
          <w:szCs w:val="22"/>
        </w:rPr>
        <w:t xml:space="preserve">Research </w:t>
      </w:r>
      <w:r w:rsidR="001D26CC">
        <w:rPr>
          <w:rFonts w:ascii="Arial" w:hAnsi="Arial" w:cs="Arial"/>
          <w:b/>
          <w:bCs/>
          <w:sz w:val="22"/>
          <w:szCs w:val="22"/>
        </w:rPr>
        <w:t>and</w:t>
      </w:r>
      <w:r w:rsidRPr="004B1606">
        <w:rPr>
          <w:rFonts w:ascii="Arial" w:hAnsi="Arial" w:cs="Arial"/>
          <w:b/>
          <w:bCs/>
          <w:sz w:val="22"/>
          <w:szCs w:val="22"/>
        </w:rPr>
        <w:t xml:space="preserve"> </w:t>
      </w:r>
      <w:r w:rsidR="001D26CC">
        <w:rPr>
          <w:rFonts w:ascii="Arial" w:hAnsi="Arial" w:cs="Arial"/>
          <w:b/>
          <w:bCs/>
          <w:sz w:val="22"/>
          <w:szCs w:val="22"/>
        </w:rPr>
        <w:t>d</w:t>
      </w:r>
      <w:r w:rsidRPr="004B1606">
        <w:rPr>
          <w:rFonts w:ascii="Arial" w:hAnsi="Arial" w:cs="Arial"/>
          <w:b/>
          <w:bCs/>
          <w:sz w:val="22"/>
          <w:szCs w:val="22"/>
        </w:rPr>
        <w:t>evelopment</w:t>
      </w:r>
    </w:p>
    <w:p w14:paraId="7ADB2C25" w14:textId="53D592F7" w:rsidR="00B70B0D" w:rsidRPr="005C2BD5" w:rsidRDefault="005C2BD5" w:rsidP="00B70B0D">
      <w:pPr>
        <w:rPr>
          <w:rFonts w:ascii="Arial" w:hAnsi="Arial" w:cs="Arial"/>
          <w:sz w:val="22"/>
          <w:szCs w:val="22"/>
        </w:rPr>
      </w:pPr>
      <w:r w:rsidRPr="005C2BD5">
        <w:rPr>
          <w:rFonts w:ascii="Arial" w:hAnsi="Arial" w:cs="Arial"/>
          <w:sz w:val="22"/>
          <w:szCs w:val="22"/>
        </w:rPr>
        <w:t>As previously announced, f</w:t>
      </w:r>
      <w:r w:rsidR="00B70B0D" w:rsidRPr="005C2BD5">
        <w:rPr>
          <w:rFonts w:ascii="Arial" w:hAnsi="Arial" w:cs="Arial"/>
          <w:sz w:val="22"/>
          <w:szCs w:val="22"/>
        </w:rPr>
        <w:t xml:space="preserve">or expenditure incurred on or after 1 April 2023, </w:t>
      </w:r>
      <w:proofErr w:type="gramStart"/>
      <w:r w:rsidR="001D26CC" w:rsidRPr="005C2BD5">
        <w:rPr>
          <w:rFonts w:ascii="Arial" w:hAnsi="Arial" w:cs="Arial"/>
          <w:sz w:val="22"/>
          <w:szCs w:val="22"/>
        </w:rPr>
        <w:t>r</w:t>
      </w:r>
      <w:r w:rsidR="00B70B0D" w:rsidRPr="005C2BD5">
        <w:rPr>
          <w:rFonts w:ascii="Arial" w:hAnsi="Arial" w:cs="Arial"/>
          <w:sz w:val="22"/>
          <w:szCs w:val="22"/>
        </w:rPr>
        <w:t>esearch</w:t>
      </w:r>
      <w:proofErr w:type="gramEnd"/>
      <w:r w:rsidR="00B70B0D" w:rsidRPr="005C2BD5">
        <w:rPr>
          <w:rFonts w:ascii="Arial" w:hAnsi="Arial" w:cs="Arial"/>
          <w:sz w:val="22"/>
          <w:szCs w:val="22"/>
        </w:rPr>
        <w:t xml:space="preserve"> and </w:t>
      </w:r>
      <w:r w:rsidR="001D26CC" w:rsidRPr="005C2BD5">
        <w:rPr>
          <w:rFonts w:ascii="Arial" w:hAnsi="Arial" w:cs="Arial"/>
          <w:sz w:val="22"/>
          <w:szCs w:val="22"/>
        </w:rPr>
        <w:t>d</w:t>
      </w:r>
      <w:r w:rsidR="00B70B0D" w:rsidRPr="005C2BD5">
        <w:rPr>
          <w:rFonts w:ascii="Arial" w:hAnsi="Arial" w:cs="Arial"/>
          <w:sz w:val="22"/>
          <w:szCs w:val="22"/>
        </w:rPr>
        <w:t xml:space="preserve">evelopment (R&amp;D) tax reliefs </w:t>
      </w:r>
      <w:r>
        <w:rPr>
          <w:rFonts w:ascii="Arial" w:hAnsi="Arial" w:cs="Arial"/>
          <w:sz w:val="22"/>
          <w:szCs w:val="22"/>
        </w:rPr>
        <w:t xml:space="preserve">were </w:t>
      </w:r>
      <w:r w:rsidR="00B70B0D" w:rsidRPr="005C2BD5">
        <w:rPr>
          <w:rFonts w:ascii="Arial" w:hAnsi="Arial" w:cs="Arial"/>
          <w:sz w:val="22"/>
          <w:szCs w:val="22"/>
        </w:rPr>
        <w:t>changed as follows:</w:t>
      </w:r>
    </w:p>
    <w:p w14:paraId="453976DC" w14:textId="77777777" w:rsidR="00B70B0D" w:rsidRPr="005C2BD5" w:rsidRDefault="00B70B0D" w:rsidP="00B70B0D">
      <w:pPr>
        <w:rPr>
          <w:rFonts w:ascii="Arial" w:hAnsi="Arial" w:cs="Arial"/>
          <w:sz w:val="22"/>
          <w:szCs w:val="22"/>
        </w:rPr>
      </w:pPr>
    </w:p>
    <w:p w14:paraId="4891B3A8" w14:textId="4D658FD9" w:rsidR="00B70B0D" w:rsidRPr="005C2BD5" w:rsidRDefault="00C737F2" w:rsidP="00AD6A8C">
      <w:pPr>
        <w:pStyle w:val="ListParagraph"/>
        <w:numPr>
          <w:ilvl w:val="0"/>
          <w:numId w:val="1"/>
        </w:numPr>
        <w:spacing w:after="0" w:line="240" w:lineRule="auto"/>
        <w:rPr>
          <w:rFonts w:ascii="Arial" w:hAnsi="Arial" w:cs="Arial"/>
        </w:rPr>
      </w:pPr>
      <w:r w:rsidRPr="005C2BD5">
        <w:rPr>
          <w:rFonts w:ascii="Arial" w:hAnsi="Arial" w:cs="Arial"/>
        </w:rPr>
        <w:t>T</w:t>
      </w:r>
      <w:r w:rsidR="00B70B0D" w:rsidRPr="005C2BD5">
        <w:rPr>
          <w:rFonts w:ascii="Arial" w:hAnsi="Arial" w:cs="Arial"/>
        </w:rPr>
        <w:t>he small and medium-sized enterprises (SME) additional deduction decrease</w:t>
      </w:r>
      <w:r w:rsidR="00D2289F">
        <w:rPr>
          <w:rFonts w:ascii="Arial" w:hAnsi="Arial" w:cs="Arial"/>
        </w:rPr>
        <w:t>d</w:t>
      </w:r>
      <w:r w:rsidR="00B70B0D" w:rsidRPr="005C2BD5">
        <w:rPr>
          <w:rFonts w:ascii="Arial" w:hAnsi="Arial" w:cs="Arial"/>
        </w:rPr>
        <w:t xml:space="preserve"> from 130% to 86%</w:t>
      </w:r>
    </w:p>
    <w:p w14:paraId="18A616CA" w14:textId="11448F81" w:rsidR="00B70B0D" w:rsidRPr="005C2BD5" w:rsidRDefault="00C737F2" w:rsidP="00AD6A8C">
      <w:pPr>
        <w:pStyle w:val="ListParagraph"/>
        <w:numPr>
          <w:ilvl w:val="0"/>
          <w:numId w:val="1"/>
        </w:numPr>
        <w:spacing w:after="0" w:line="240" w:lineRule="auto"/>
        <w:rPr>
          <w:rFonts w:ascii="Arial" w:hAnsi="Arial" w:cs="Arial"/>
        </w:rPr>
      </w:pPr>
      <w:r w:rsidRPr="005C2BD5">
        <w:rPr>
          <w:rFonts w:ascii="Arial" w:hAnsi="Arial" w:cs="Arial"/>
        </w:rPr>
        <w:t>T</w:t>
      </w:r>
      <w:r w:rsidR="00B70B0D" w:rsidRPr="005C2BD5">
        <w:rPr>
          <w:rFonts w:ascii="Arial" w:hAnsi="Arial" w:cs="Arial"/>
        </w:rPr>
        <w:t>he SME credit rate decrease</w:t>
      </w:r>
      <w:r w:rsidR="00D2289F">
        <w:rPr>
          <w:rFonts w:ascii="Arial" w:hAnsi="Arial" w:cs="Arial"/>
        </w:rPr>
        <w:t>d</w:t>
      </w:r>
      <w:r w:rsidR="00B70B0D" w:rsidRPr="005C2BD5">
        <w:rPr>
          <w:rFonts w:ascii="Arial" w:hAnsi="Arial" w:cs="Arial"/>
        </w:rPr>
        <w:t xml:space="preserve"> from 14.5% to 10%</w:t>
      </w:r>
    </w:p>
    <w:p w14:paraId="03C9C409" w14:textId="5DF1CED5" w:rsidR="006F0EDF" w:rsidRDefault="00B70B0D" w:rsidP="00AD6A8C">
      <w:pPr>
        <w:pStyle w:val="ListParagraph"/>
        <w:numPr>
          <w:ilvl w:val="0"/>
          <w:numId w:val="1"/>
        </w:numPr>
        <w:spacing w:after="0" w:line="240" w:lineRule="auto"/>
        <w:rPr>
          <w:rFonts w:ascii="Arial" w:hAnsi="Arial" w:cs="Arial"/>
        </w:rPr>
      </w:pPr>
      <w:r w:rsidRPr="005C2BD5">
        <w:rPr>
          <w:rFonts w:ascii="Arial" w:hAnsi="Arial" w:cs="Arial"/>
        </w:rPr>
        <w:t>R&amp;D expenditure credit r</w:t>
      </w:r>
      <w:r w:rsidR="00D2289F">
        <w:rPr>
          <w:rFonts w:ascii="Arial" w:hAnsi="Arial" w:cs="Arial"/>
        </w:rPr>
        <w:t xml:space="preserve">ose </w:t>
      </w:r>
      <w:r w:rsidRPr="005C2BD5">
        <w:rPr>
          <w:rFonts w:ascii="Arial" w:hAnsi="Arial" w:cs="Arial"/>
        </w:rPr>
        <w:t>from 13% to 20%</w:t>
      </w:r>
    </w:p>
    <w:p w14:paraId="03689383" w14:textId="77777777" w:rsidR="009D6487" w:rsidRPr="009D6487" w:rsidRDefault="00C737F2" w:rsidP="00AD6A8C">
      <w:pPr>
        <w:pStyle w:val="ListParagraph"/>
        <w:numPr>
          <w:ilvl w:val="0"/>
          <w:numId w:val="1"/>
        </w:numPr>
        <w:spacing w:after="0" w:line="240" w:lineRule="auto"/>
        <w:rPr>
          <w:rFonts w:ascii="Arial" w:hAnsi="Arial" w:cs="Arial"/>
        </w:rPr>
      </w:pPr>
      <w:r w:rsidRPr="006F0EDF">
        <w:rPr>
          <w:rFonts w:ascii="Arial" w:hAnsi="Arial" w:cs="Arial"/>
          <w:shd w:val="clear" w:color="auto" w:fill="FFFFFF"/>
        </w:rPr>
        <w:t>T</w:t>
      </w:r>
      <w:r w:rsidR="00B70B0D" w:rsidRPr="006F0EDF">
        <w:rPr>
          <w:rFonts w:ascii="Arial" w:hAnsi="Arial" w:cs="Arial"/>
          <w:shd w:val="clear" w:color="auto" w:fill="FFFFFF"/>
        </w:rPr>
        <w:t xml:space="preserve">he R&amp;D Intensive SME payable credit </w:t>
      </w:r>
      <w:r w:rsidR="00D2289F" w:rsidRPr="006F0EDF">
        <w:rPr>
          <w:rFonts w:ascii="Arial" w:hAnsi="Arial" w:cs="Arial"/>
          <w:shd w:val="clear" w:color="auto" w:fill="FFFFFF"/>
        </w:rPr>
        <w:t>was</w:t>
      </w:r>
      <w:r w:rsidR="00B70B0D" w:rsidRPr="006F0EDF">
        <w:rPr>
          <w:rFonts w:ascii="Arial" w:hAnsi="Arial" w:cs="Arial"/>
          <w:shd w:val="clear" w:color="auto" w:fill="FFFFFF"/>
        </w:rPr>
        <w:t xml:space="preserve"> introduced from April 2023 at the rate of 14.5%. A company is considered R&amp;D intensive where its qualifying R&amp;D expenditure is worth 40% or more of its total expenditure. These eligible loss-making companies will be able to claim £27 from HMRC for every £100 of R&amp;D investment, instead of £18.60 for </w:t>
      </w:r>
      <w:r w:rsidR="002031C7" w:rsidRPr="006F0EDF">
        <w:rPr>
          <w:rFonts w:ascii="Arial" w:hAnsi="Arial" w:cs="Arial"/>
          <w:shd w:val="clear" w:color="auto" w:fill="FFFFFF"/>
        </w:rPr>
        <w:t>non-R</w:t>
      </w:r>
      <w:r w:rsidR="00B70B0D" w:rsidRPr="006F0EDF">
        <w:rPr>
          <w:rFonts w:ascii="Arial" w:hAnsi="Arial" w:cs="Arial"/>
          <w:shd w:val="clear" w:color="auto" w:fill="FFFFFF"/>
        </w:rPr>
        <w:t>&amp;D intensive loss makers.</w:t>
      </w:r>
      <w:r w:rsidR="006F0EDF" w:rsidRPr="006F0EDF">
        <w:rPr>
          <w:rFonts w:ascii="Arial" w:hAnsi="Arial" w:cs="Arial"/>
          <w:shd w:val="clear" w:color="auto" w:fill="FFFFFF"/>
        </w:rPr>
        <w:t xml:space="preserve"> </w:t>
      </w:r>
    </w:p>
    <w:p w14:paraId="426939AF" w14:textId="77777777" w:rsidR="00017143" w:rsidRPr="00722C4A" w:rsidRDefault="00017143" w:rsidP="00017143">
      <w:pPr>
        <w:rPr>
          <w:rFonts w:ascii="Arial" w:hAnsi="Arial" w:cs="Arial"/>
          <w:sz w:val="22"/>
          <w:szCs w:val="22"/>
        </w:rPr>
      </w:pPr>
    </w:p>
    <w:p w14:paraId="2F66FD93" w14:textId="183A0D06" w:rsidR="002E634A" w:rsidRPr="00722C4A" w:rsidRDefault="00017143" w:rsidP="00017143">
      <w:pPr>
        <w:rPr>
          <w:rFonts w:ascii="Arial" w:hAnsi="Arial" w:cs="Arial"/>
          <w:sz w:val="22"/>
          <w:szCs w:val="22"/>
        </w:rPr>
      </w:pPr>
      <w:proofErr w:type="gramStart"/>
      <w:r w:rsidRPr="00722C4A">
        <w:rPr>
          <w:rFonts w:ascii="Arial" w:hAnsi="Arial" w:cs="Arial"/>
          <w:sz w:val="22"/>
          <w:szCs w:val="22"/>
        </w:rPr>
        <w:t>It</w:t>
      </w:r>
      <w:proofErr w:type="gramEnd"/>
      <w:r w:rsidRPr="00722C4A">
        <w:rPr>
          <w:rFonts w:ascii="Arial" w:hAnsi="Arial" w:cs="Arial"/>
          <w:sz w:val="22"/>
          <w:szCs w:val="22"/>
        </w:rPr>
        <w:t xml:space="preserve"> today’s </w:t>
      </w:r>
      <w:r w:rsidR="00722C4A" w:rsidRPr="00722C4A">
        <w:rPr>
          <w:rFonts w:ascii="Arial" w:hAnsi="Arial" w:cs="Arial"/>
          <w:sz w:val="22"/>
          <w:szCs w:val="22"/>
        </w:rPr>
        <w:t>statement</w:t>
      </w:r>
      <w:r w:rsidRPr="00722C4A">
        <w:rPr>
          <w:rFonts w:ascii="Arial" w:hAnsi="Arial" w:cs="Arial"/>
          <w:sz w:val="22"/>
          <w:szCs w:val="22"/>
        </w:rPr>
        <w:t xml:space="preserve">, the </w:t>
      </w:r>
      <w:r w:rsidR="00722C4A" w:rsidRPr="00722C4A">
        <w:rPr>
          <w:rFonts w:ascii="Arial" w:hAnsi="Arial" w:cs="Arial"/>
          <w:sz w:val="22"/>
          <w:szCs w:val="22"/>
        </w:rPr>
        <w:t xml:space="preserve">government </w:t>
      </w:r>
      <w:r w:rsidR="009D6487" w:rsidRPr="00722C4A">
        <w:rPr>
          <w:rFonts w:ascii="Arial" w:hAnsi="Arial" w:cs="Arial"/>
          <w:sz w:val="22"/>
          <w:szCs w:val="22"/>
        </w:rPr>
        <w:t>announced that t</w:t>
      </w:r>
      <w:r w:rsidR="006F0EDF" w:rsidRPr="00722C4A">
        <w:rPr>
          <w:rFonts w:ascii="Arial" w:hAnsi="Arial" w:cs="Arial"/>
          <w:sz w:val="22"/>
          <w:szCs w:val="22"/>
        </w:rPr>
        <w:t xml:space="preserve">he intensity threshold in the additional support for R&amp;D intensive loss-making SMEs will be reduced from 40% to 30%. </w:t>
      </w:r>
      <w:r w:rsidR="002E634A" w:rsidRPr="00722C4A">
        <w:rPr>
          <w:rFonts w:ascii="Arial" w:hAnsi="Arial" w:cs="Arial"/>
          <w:sz w:val="22"/>
          <w:szCs w:val="22"/>
        </w:rPr>
        <w:t>A</w:t>
      </w:r>
      <w:r w:rsidR="006F0EDF" w:rsidRPr="00722C4A">
        <w:rPr>
          <w:rFonts w:ascii="Arial" w:hAnsi="Arial" w:cs="Arial"/>
          <w:sz w:val="22"/>
          <w:szCs w:val="22"/>
        </w:rPr>
        <w:t xml:space="preserve"> one-year grace period</w:t>
      </w:r>
      <w:r w:rsidR="002E634A" w:rsidRPr="00722C4A">
        <w:rPr>
          <w:rFonts w:ascii="Arial" w:hAnsi="Arial" w:cs="Arial"/>
          <w:sz w:val="22"/>
          <w:szCs w:val="22"/>
        </w:rPr>
        <w:t xml:space="preserve"> will be introduced </w:t>
      </w:r>
      <w:r w:rsidR="006F0EDF" w:rsidRPr="00722C4A">
        <w:rPr>
          <w:rFonts w:ascii="Arial" w:hAnsi="Arial" w:cs="Arial"/>
          <w:sz w:val="22"/>
          <w:szCs w:val="22"/>
        </w:rPr>
        <w:t>so that companies that dip under the 30% qualifying R&amp;D expenditure threshold will continue to receive relief for one year.</w:t>
      </w:r>
    </w:p>
    <w:p w14:paraId="2120CD2E" w14:textId="77777777" w:rsidR="00017143" w:rsidRPr="00722C4A" w:rsidRDefault="00017143" w:rsidP="00017143">
      <w:pPr>
        <w:rPr>
          <w:rFonts w:ascii="Arial" w:hAnsi="Arial" w:cs="Arial"/>
          <w:sz w:val="22"/>
          <w:szCs w:val="22"/>
        </w:rPr>
      </w:pPr>
    </w:p>
    <w:p w14:paraId="7BB52A03" w14:textId="59D6D11B" w:rsidR="006F0EDF" w:rsidRPr="00722C4A" w:rsidRDefault="006F0EDF" w:rsidP="00017143">
      <w:pPr>
        <w:rPr>
          <w:rFonts w:ascii="Arial" w:hAnsi="Arial" w:cs="Arial"/>
          <w:sz w:val="22"/>
          <w:szCs w:val="22"/>
        </w:rPr>
      </w:pPr>
      <w:r w:rsidRPr="00722C4A">
        <w:rPr>
          <w:rFonts w:ascii="Arial" w:hAnsi="Arial" w:cs="Arial"/>
          <w:sz w:val="22"/>
          <w:szCs w:val="22"/>
        </w:rPr>
        <w:t>Businesses will be able to claim for expenditure incurred from 1 April 2023 once the Autumn Finance Bill 2023 has received Royal Assent, with the reduction in intensity threshold and grace period coming into effect for accounting periods beginning on or after 1 April 2024.</w:t>
      </w:r>
    </w:p>
    <w:p w14:paraId="4ABEE223" w14:textId="77777777" w:rsidR="00960A5A" w:rsidRPr="00722C4A" w:rsidRDefault="00960A5A" w:rsidP="0065704D">
      <w:pPr>
        <w:rPr>
          <w:rFonts w:ascii="Arial" w:hAnsi="Arial" w:cs="Arial"/>
          <w:sz w:val="22"/>
          <w:szCs w:val="22"/>
        </w:rPr>
      </w:pPr>
    </w:p>
    <w:p w14:paraId="458A5A6B" w14:textId="14489403" w:rsidR="00186D41" w:rsidRPr="00CF20CF" w:rsidRDefault="00DF2046" w:rsidP="0065704D">
      <w:pPr>
        <w:rPr>
          <w:rFonts w:ascii="Arial" w:hAnsi="Arial" w:cs="Arial"/>
          <w:sz w:val="22"/>
          <w:szCs w:val="22"/>
        </w:rPr>
      </w:pPr>
      <w:r w:rsidRPr="00CF20CF">
        <w:rPr>
          <w:rFonts w:ascii="Arial" w:hAnsi="Arial" w:cs="Arial"/>
          <w:sz w:val="22"/>
          <w:szCs w:val="22"/>
        </w:rPr>
        <w:t>The existing Research and Development Expenditure (RDEC) and SME schemes will be merged, with expenditure incurred in accounting periods beginning on or after 1 April 2024 to be claimed in the merged scheme</w:t>
      </w:r>
      <w:r w:rsidR="009761FF">
        <w:rPr>
          <w:rFonts w:ascii="Arial" w:hAnsi="Arial" w:cs="Arial"/>
          <w:sz w:val="22"/>
          <w:szCs w:val="22"/>
        </w:rPr>
        <w:t xml:space="preserve">, being heralded as </w:t>
      </w:r>
      <w:r w:rsidRPr="00CF20CF">
        <w:rPr>
          <w:rFonts w:ascii="Arial" w:hAnsi="Arial" w:cs="Arial"/>
          <w:sz w:val="22"/>
          <w:szCs w:val="22"/>
        </w:rPr>
        <w:t xml:space="preserve">a significant tax simplification, </w:t>
      </w:r>
      <w:r w:rsidR="009761FF">
        <w:rPr>
          <w:rFonts w:ascii="Arial" w:hAnsi="Arial" w:cs="Arial"/>
          <w:sz w:val="22"/>
          <w:szCs w:val="22"/>
        </w:rPr>
        <w:t>bringing a</w:t>
      </w:r>
      <w:r w:rsidRPr="00CF20CF">
        <w:rPr>
          <w:rFonts w:ascii="Arial" w:hAnsi="Arial" w:cs="Arial"/>
          <w:sz w:val="22"/>
          <w:szCs w:val="22"/>
        </w:rPr>
        <w:t xml:space="preserve">n aligned set of qualifying rules and a more visible above the line credit. The notional tax rate applied to loss-makers in the merged scheme will be lowered from 25% as per the current RDEC scheme, to 19%. </w:t>
      </w:r>
    </w:p>
    <w:p w14:paraId="40E17A28" w14:textId="77777777" w:rsidR="00F945C6" w:rsidRDefault="00F945C6" w:rsidP="0065704D">
      <w:pPr>
        <w:rPr>
          <w:rFonts w:ascii="Arial" w:hAnsi="Arial" w:cs="Arial"/>
          <w:sz w:val="22"/>
          <w:szCs w:val="22"/>
        </w:rPr>
      </w:pPr>
    </w:p>
    <w:p w14:paraId="73C78920" w14:textId="77777777" w:rsidR="006D25AE" w:rsidRPr="006D25AE" w:rsidRDefault="006D25AE" w:rsidP="00DB2E56">
      <w:pPr>
        <w:rPr>
          <w:rFonts w:ascii="Arial" w:hAnsi="Arial" w:cs="Arial"/>
          <w:b/>
          <w:bCs/>
          <w:sz w:val="22"/>
          <w:szCs w:val="22"/>
        </w:rPr>
      </w:pPr>
      <w:r w:rsidRPr="006D25AE">
        <w:rPr>
          <w:rFonts w:ascii="Arial" w:hAnsi="Arial" w:cs="Arial"/>
          <w:b/>
          <w:bCs/>
          <w:sz w:val="22"/>
          <w:szCs w:val="22"/>
        </w:rPr>
        <w:t>Expanding the Cash Basis</w:t>
      </w:r>
    </w:p>
    <w:p w14:paraId="0E30934C" w14:textId="6C9A3A9D" w:rsidR="006D25AE" w:rsidRDefault="006D25AE" w:rsidP="00DB2E56">
      <w:pPr>
        <w:rPr>
          <w:rFonts w:ascii="Arial" w:hAnsi="Arial" w:cs="Arial"/>
          <w:sz w:val="22"/>
          <w:szCs w:val="22"/>
        </w:rPr>
      </w:pPr>
      <w:r w:rsidRPr="006D25AE">
        <w:rPr>
          <w:rFonts w:ascii="Arial" w:hAnsi="Arial" w:cs="Arial"/>
          <w:sz w:val="22"/>
          <w:szCs w:val="22"/>
        </w:rPr>
        <w:t>Following a consultation at Spring Budget 2023, the government is expanding and simplifying the income tax cash basis for the self-employed and partnerships. These changes will take effect from 6 April 2024, for 2024-25 and will be included in the Autumn Finance Bill 2023.</w:t>
      </w:r>
    </w:p>
    <w:p w14:paraId="4817B801" w14:textId="77777777" w:rsidR="00656A8D" w:rsidRDefault="00656A8D" w:rsidP="00DB2E56">
      <w:pPr>
        <w:rPr>
          <w:rFonts w:ascii="Arial" w:hAnsi="Arial" w:cs="Arial"/>
          <w:sz w:val="22"/>
          <w:szCs w:val="22"/>
        </w:rPr>
      </w:pPr>
    </w:p>
    <w:p w14:paraId="4A9184CF" w14:textId="77777777" w:rsidR="00656A8D" w:rsidRPr="005F06F8" w:rsidRDefault="00656A8D" w:rsidP="00656A8D">
      <w:pPr>
        <w:textAlignment w:val="baseline"/>
        <w:rPr>
          <w:rFonts w:ascii="Arial" w:hAnsi="Arial" w:cs="Arial"/>
          <w:b/>
          <w:bCs/>
          <w:sz w:val="22"/>
          <w:szCs w:val="22"/>
          <w:lang w:eastAsia="en-GB"/>
        </w:rPr>
      </w:pPr>
      <w:r w:rsidRPr="005F06F8">
        <w:rPr>
          <w:rFonts w:ascii="Arial" w:hAnsi="Arial" w:cs="Arial"/>
          <w:b/>
          <w:bCs/>
          <w:sz w:val="22"/>
          <w:szCs w:val="22"/>
          <w:lang w:eastAsia="en-GB"/>
        </w:rPr>
        <w:t xml:space="preserve">Business </w:t>
      </w:r>
      <w:r>
        <w:rPr>
          <w:rFonts w:ascii="Arial" w:hAnsi="Arial" w:cs="Arial"/>
          <w:b/>
          <w:bCs/>
          <w:sz w:val="22"/>
          <w:szCs w:val="22"/>
          <w:lang w:eastAsia="en-GB"/>
        </w:rPr>
        <w:t>r</w:t>
      </w:r>
      <w:r w:rsidRPr="005F06F8">
        <w:rPr>
          <w:rFonts w:ascii="Arial" w:hAnsi="Arial" w:cs="Arial"/>
          <w:b/>
          <w:bCs/>
          <w:sz w:val="22"/>
          <w:szCs w:val="22"/>
          <w:lang w:eastAsia="en-GB"/>
        </w:rPr>
        <w:t>ates</w:t>
      </w:r>
    </w:p>
    <w:p w14:paraId="4BA0E40C" w14:textId="77777777" w:rsidR="00656A8D" w:rsidRDefault="00656A8D" w:rsidP="00656A8D">
      <w:pPr>
        <w:rPr>
          <w:rFonts w:ascii="Arial" w:hAnsi="Arial" w:cs="Arial"/>
          <w:color w:val="0B0C0C"/>
          <w:sz w:val="22"/>
          <w:szCs w:val="22"/>
        </w:rPr>
      </w:pPr>
      <w:r>
        <w:rPr>
          <w:rFonts w:ascii="Arial" w:hAnsi="Arial" w:cs="Arial"/>
          <w:color w:val="0B0C0C"/>
          <w:sz w:val="22"/>
          <w:szCs w:val="22"/>
        </w:rPr>
        <w:t xml:space="preserve">Small business rates (SBR) relief 75% discount will be extended for a year (2024-25) for the retail, </w:t>
      </w:r>
      <w:proofErr w:type="gramStart"/>
      <w:r>
        <w:rPr>
          <w:rFonts w:ascii="Arial" w:hAnsi="Arial" w:cs="Arial"/>
          <w:color w:val="0B0C0C"/>
          <w:sz w:val="22"/>
          <w:szCs w:val="22"/>
        </w:rPr>
        <w:t>hospitality</w:t>
      </w:r>
      <w:proofErr w:type="gramEnd"/>
      <w:r>
        <w:rPr>
          <w:rFonts w:ascii="Arial" w:hAnsi="Arial" w:cs="Arial"/>
          <w:color w:val="0B0C0C"/>
          <w:sz w:val="22"/>
          <w:szCs w:val="22"/>
        </w:rPr>
        <w:t xml:space="preserve"> and leisure sector. In addition, the SBR multiplier will also be frozen for a year.</w:t>
      </w:r>
    </w:p>
    <w:p w14:paraId="5493F101" w14:textId="77777777" w:rsidR="00656A8D" w:rsidRPr="006D25AE" w:rsidRDefault="00656A8D" w:rsidP="00DB2E56">
      <w:pPr>
        <w:rPr>
          <w:rFonts w:ascii="Arial" w:hAnsi="Arial" w:cs="Arial"/>
          <w:sz w:val="22"/>
          <w:szCs w:val="22"/>
        </w:rPr>
      </w:pPr>
    </w:p>
    <w:p w14:paraId="7D8AA04C" w14:textId="77777777" w:rsidR="00AD2A12" w:rsidRDefault="00AD2A12" w:rsidP="00DB2E56">
      <w:pPr>
        <w:rPr>
          <w:rFonts w:ascii="Arial" w:hAnsi="Arial" w:cs="Arial"/>
          <w:b/>
          <w:bCs/>
          <w:sz w:val="22"/>
          <w:szCs w:val="22"/>
        </w:rPr>
      </w:pPr>
    </w:p>
    <w:p w14:paraId="5C7ACB41" w14:textId="77777777" w:rsidR="00AD2A12" w:rsidRDefault="00AD2A12" w:rsidP="00DB2E56">
      <w:pPr>
        <w:rPr>
          <w:rFonts w:ascii="Arial" w:hAnsi="Arial" w:cs="Arial"/>
          <w:b/>
          <w:bCs/>
          <w:sz w:val="22"/>
          <w:szCs w:val="22"/>
        </w:rPr>
      </w:pPr>
    </w:p>
    <w:p w14:paraId="09C2A6C0" w14:textId="77777777" w:rsidR="00AD2A12" w:rsidRDefault="00AD2A12" w:rsidP="00DB2E56">
      <w:pPr>
        <w:rPr>
          <w:rFonts w:ascii="Arial" w:hAnsi="Arial" w:cs="Arial"/>
          <w:b/>
          <w:bCs/>
          <w:sz w:val="22"/>
          <w:szCs w:val="22"/>
        </w:rPr>
      </w:pPr>
    </w:p>
    <w:p w14:paraId="5AC0BF42" w14:textId="77777777" w:rsidR="00AD2A12" w:rsidRDefault="00AD2A12" w:rsidP="00DB2E56">
      <w:pPr>
        <w:rPr>
          <w:rFonts w:ascii="Arial" w:hAnsi="Arial" w:cs="Arial"/>
          <w:b/>
          <w:bCs/>
          <w:sz w:val="22"/>
          <w:szCs w:val="22"/>
        </w:rPr>
      </w:pPr>
    </w:p>
    <w:p w14:paraId="7D88C395" w14:textId="0B83CF9F" w:rsidR="00DB2E56" w:rsidRPr="002B7051" w:rsidRDefault="00DB2E56" w:rsidP="00DB2E56">
      <w:pPr>
        <w:rPr>
          <w:rFonts w:ascii="Arial" w:hAnsi="Arial" w:cs="Arial"/>
          <w:b/>
          <w:bCs/>
          <w:sz w:val="22"/>
          <w:szCs w:val="22"/>
        </w:rPr>
      </w:pPr>
      <w:r w:rsidRPr="002B7051">
        <w:rPr>
          <w:rFonts w:ascii="Arial" w:hAnsi="Arial" w:cs="Arial"/>
          <w:b/>
          <w:bCs/>
          <w:sz w:val="22"/>
          <w:szCs w:val="22"/>
        </w:rPr>
        <w:lastRenderedPageBreak/>
        <w:t xml:space="preserve">Government grants to install electric vehicle charge </w:t>
      </w:r>
      <w:proofErr w:type="gramStart"/>
      <w:r w:rsidRPr="002B7051">
        <w:rPr>
          <w:rFonts w:ascii="Arial" w:hAnsi="Arial" w:cs="Arial"/>
          <w:b/>
          <w:bCs/>
          <w:sz w:val="22"/>
          <w:szCs w:val="22"/>
        </w:rPr>
        <w:t>points</w:t>
      </w:r>
      <w:proofErr w:type="gramEnd"/>
      <w:r w:rsidRPr="002B7051">
        <w:rPr>
          <w:rFonts w:ascii="Arial" w:hAnsi="Arial" w:cs="Arial"/>
          <w:b/>
          <w:bCs/>
          <w:sz w:val="22"/>
          <w:szCs w:val="22"/>
        </w:rPr>
        <w:t xml:space="preserve"> </w:t>
      </w:r>
    </w:p>
    <w:p w14:paraId="02C416E1" w14:textId="77777777" w:rsidR="00DB2E56" w:rsidRPr="002B7051" w:rsidRDefault="00DB2E56" w:rsidP="00DB2E56">
      <w:pPr>
        <w:rPr>
          <w:rFonts w:ascii="Arial" w:hAnsi="Arial" w:cs="Arial"/>
          <w:sz w:val="22"/>
          <w:szCs w:val="22"/>
        </w:rPr>
      </w:pPr>
      <w:r w:rsidRPr="00DB2E56">
        <w:rPr>
          <w:rFonts w:ascii="Arial" w:hAnsi="Arial" w:cs="Arial"/>
          <w:sz w:val="22"/>
          <w:szCs w:val="22"/>
        </w:rPr>
        <w:t xml:space="preserve">Businesses can potentially claim 100% of the costs of installing an electric vehicle charging point as a capital allowance. As previously announced, the </w:t>
      </w:r>
      <w:hyperlink r:id="rId11" w:history="1">
        <w:r w:rsidRPr="00DB2E56">
          <w:rPr>
            <w:rStyle w:val="Hyperlink"/>
            <w:rFonts w:ascii="Arial" w:hAnsi="Arial" w:cs="Arial"/>
            <w:sz w:val="22"/>
            <w:szCs w:val="22"/>
          </w:rPr>
          <w:t>government extended</w:t>
        </w:r>
      </w:hyperlink>
      <w:r w:rsidRPr="00DB2E56">
        <w:rPr>
          <w:rFonts w:ascii="Arial" w:hAnsi="Arial" w:cs="Arial"/>
          <w:sz w:val="22"/>
          <w:szCs w:val="22"/>
        </w:rPr>
        <w:t xml:space="preserve"> the 100% First Year Allowance for electric vehicle charge points to 31 March 2025 for corporation tax purposes and 5 April 2025 for income tax purposes.</w:t>
      </w:r>
    </w:p>
    <w:p w14:paraId="423B54F6" w14:textId="77777777" w:rsidR="00DB2E56" w:rsidRDefault="00DB2E56" w:rsidP="005C69E7">
      <w:pPr>
        <w:rPr>
          <w:rFonts w:ascii="Arial" w:hAnsi="Arial" w:cs="Arial"/>
          <w:b/>
          <w:sz w:val="22"/>
          <w:szCs w:val="22"/>
        </w:rPr>
      </w:pPr>
    </w:p>
    <w:p w14:paraId="1887AE62" w14:textId="5BD14E02" w:rsidR="005C69E7" w:rsidRPr="004C774B" w:rsidRDefault="005C69E7" w:rsidP="005C69E7">
      <w:pPr>
        <w:rPr>
          <w:rFonts w:ascii="Arial" w:hAnsi="Arial" w:cs="Arial"/>
          <w:b/>
          <w:sz w:val="22"/>
          <w:szCs w:val="22"/>
        </w:rPr>
      </w:pPr>
      <w:r w:rsidRPr="004C774B">
        <w:rPr>
          <w:rFonts w:ascii="Arial" w:hAnsi="Arial" w:cs="Arial"/>
          <w:b/>
          <w:sz w:val="22"/>
          <w:szCs w:val="22"/>
        </w:rPr>
        <w:t xml:space="preserve">Theatre Tax Relief </w:t>
      </w:r>
    </w:p>
    <w:p w14:paraId="28399555" w14:textId="77777777" w:rsidR="005C69E7" w:rsidRDefault="005C69E7" w:rsidP="005C69E7">
      <w:pPr>
        <w:rPr>
          <w:rFonts w:ascii="Arial" w:hAnsi="Arial" w:cs="Arial"/>
          <w:bCs/>
          <w:sz w:val="22"/>
          <w:szCs w:val="22"/>
        </w:rPr>
      </w:pPr>
      <w:r>
        <w:rPr>
          <w:rFonts w:ascii="Arial" w:hAnsi="Arial" w:cs="Arial"/>
          <w:bCs/>
          <w:sz w:val="22"/>
          <w:szCs w:val="22"/>
        </w:rPr>
        <w:t>As previously announced in the Spring Budget, t</w:t>
      </w:r>
      <w:r w:rsidRPr="00835ABB">
        <w:rPr>
          <w:rFonts w:ascii="Arial" w:hAnsi="Arial" w:cs="Arial"/>
          <w:bCs/>
          <w:sz w:val="22"/>
          <w:szCs w:val="22"/>
        </w:rPr>
        <w:t xml:space="preserve">he Theatre Tax Relief, which was due to taper to 30% (for non-touring productions) and 35% (for touring productions) on 1 April 2023, </w:t>
      </w:r>
      <w:r>
        <w:rPr>
          <w:rFonts w:ascii="Arial" w:hAnsi="Arial" w:cs="Arial"/>
          <w:bCs/>
          <w:sz w:val="22"/>
          <w:szCs w:val="22"/>
        </w:rPr>
        <w:t>was set to r</w:t>
      </w:r>
      <w:r w:rsidRPr="00835ABB">
        <w:rPr>
          <w:rFonts w:ascii="Arial" w:hAnsi="Arial" w:cs="Arial"/>
          <w:bCs/>
          <w:sz w:val="22"/>
          <w:szCs w:val="22"/>
        </w:rPr>
        <w:t>emain at 45% and 50% respectively until 31 March 2025. From 1 April 2025, the rates will be 30% and 35%, and rates will return to 20% and 25% on 1 April 2026.</w:t>
      </w:r>
    </w:p>
    <w:p w14:paraId="08E268CA" w14:textId="77777777" w:rsidR="001E399C" w:rsidRDefault="001E399C" w:rsidP="005C69E7">
      <w:pPr>
        <w:rPr>
          <w:rFonts w:ascii="Arial" w:hAnsi="Arial" w:cs="Arial"/>
          <w:b/>
          <w:sz w:val="22"/>
          <w:szCs w:val="22"/>
        </w:rPr>
      </w:pPr>
    </w:p>
    <w:p w14:paraId="0E8E3FAB" w14:textId="37170332" w:rsidR="000242BC" w:rsidRPr="000242BC" w:rsidRDefault="000242BC" w:rsidP="005C69E7">
      <w:pPr>
        <w:rPr>
          <w:rFonts w:ascii="Arial" w:hAnsi="Arial" w:cs="Arial"/>
          <w:b/>
          <w:sz w:val="22"/>
          <w:szCs w:val="22"/>
        </w:rPr>
      </w:pPr>
      <w:r w:rsidRPr="000242BC">
        <w:rPr>
          <w:rFonts w:ascii="Arial" w:hAnsi="Arial" w:cs="Arial"/>
          <w:b/>
          <w:sz w:val="22"/>
          <w:szCs w:val="22"/>
        </w:rPr>
        <w:t>Tougher consequences for promoters of tax avoidance</w:t>
      </w:r>
    </w:p>
    <w:p w14:paraId="48697E14" w14:textId="0A9EF0F3" w:rsidR="000242BC" w:rsidRDefault="000242BC" w:rsidP="005C69E7">
      <w:pPr>
        <w:rPr>
          <w:rFonts w:ascii="Arial" w:hAnsi="Arial" w:cs="Arial"/>
          <w:bCs/>
          <w:sz w:val="22"/>
          <w:szCs w:val="22"/>
        </w:rPr>
      </w:pPr>
      <w:r w:rsidRPr="000242BC">
        <w:rPr>
          <w:rFonts w:ascii="Arial" w:hAnsi="Arial" w:cs="Arial"/>
          <w:bCs/>
          <w:sz w:val="22"/>
          <w:szCs w:val="22"/>
        </w:rPr>
        <w:t>The government is legislating in the Autumn Finance Bill 2023 to introduce tougher consequences for promoters of tax avoidance schemes. These include a new criminal offence for those who continue to promote avoidance schemes after receiving a notice requiring them to stop; and a new power enabling HMRC to bring disqualification action against directors of companies involved in promoting tax avoidance, including those who control or exercise influence over a company. These changes will take effect from Royal Assent of the Autumn Finance Bill 2023.</w:t>
      </w:r>
    </w:p>
    <w:p w14:paraId="54660FB6" w14:textId="77777777" w:rsidR="006A1F59" w:rsidRDefault="006A1F59" w:rsidP="005C69E7">
      <w:pPr>
        <w:rPr>
          <w:rFonts w:ascii="Arial" w:hAnsi="Arial" w:cs="Arial"/>
          <w:bCs/>
          <w:sz w:val="22"/>
          <w:szCs w:val="22"/>
        </w:rPr>
      </w:pPr>
    </w:p>
    <w:p w14:paraId="5EC0B0D7" w14:textId="77777777" w:rsidR="006A1F59" w:rsidRPr="001139A8" w:rsidRDefault="006A1F59" w:rsidP="006A1F59">
      <w:pPr>
        <w:textAlignment w:val="baseline"/>
        <w:rPr>
          <w:rFonts w:ascii="Arial" w:hAnsi="Arial" w:cs="Arial"/>
          <w:b/>
          <w:bCs/>
          <w:sz w:val="22"/>
          <w:szCs w:val="22"/>
          <w:lang w:eastAsia="en-GB"/>
        </w:rPr>
      </w:pPr>
      <w:r w:rsidRPr="001139A8">
        <w:rPr>
          <w:rFonts w:ascii="Arial" w:hAnsi="Arial" w:cs="Arial"/>
          <w:b/>
          <w:bCs/>
          <w:sz w:val="22"/>
          <w:szCs w:val="22"/>
          <w:lang w:eastAsia="en-GB"/>
        </w:rPr>
        <w:t>Recovery loan scheme</w:t>
      </w:r>
    </w:p>
    <w:p w14:paraId="214D1EB8" w14:textId="77777777" w:rsidR="006A1F59" w:rsidRPr="001139A8" w:rsidRDefault="006A1F59" w:rsidP="006A1F59">
      <w:pPr>
        <w:textAlignment w:val="baseline"/>
        <w:rPr>
          <w:rFonts w:ascii="Arial" w:hAnsi="Arial" w:cs="Arial"/>
          <w:sz w:val="22"/>
          <w:szCs w:val="22"/>
          <w:lang w:eastAsia="en-GB"/>
        </w:rPr>
      </w:pPr>
      <w:r w:rsidRPr="006A1F59">
        <w:rPr>
          <w:rFonts w:ascii="Arial" w:hAnsi="Arial" w:cs="Arial"/>
          <w:color w:val="000000"/>
          <w:sz w:val="22"/>
          <w:szCs w:val="22"/>
          <w:lang w:eastAsia="en-GB"/>
        </w:rPr>
        <w:t xml:space="preserve">The </w:t>
      </w:r>
      <w:hyperlink r:id="rId12" w:history="1">
        <w:r w:rsidRPr="006A1F59">
          <w:rPr>
            <w:rStyle w:val="Hyperlink"/>
            <w:rFonts w:ascii="Arial" w:hAnsi="Arial" w:cs="Arial"/>
            <w:sz w:val="22"/>
            <w:szCs w:val="22"/>
            <w:lang w:eastAsia="en-GB"/>
          </w:rPr>
          <w:t>Recovery Loan Scheme</w:t>
        </w:r>
      </w:hyperlink>
      <w:r w:rsidRPr="006A1F59">
        <w:rPr>
          <w:rFonts w:ascii="Arial" w:hAnsi="Arial" w:cs="Arial"/>
          <w:color w:val="000000"/>
          <w:sz w:val="22"/>
          <w:szCs w:val="22"/>
          <w:lang w:eastAsia="en-GB"/>
        </w:rPr>
        <w:t xml:space="preserve">, launched in April 2021 to help businesses recovering from the pandemic was originally designed to end in June 2022. As previously announced, the scheme has been extended and will continue to run until June 2024. Details of the scheme and eligibility criteria can be found on the British Business Bank website </w:t>
      </w:r>
      <w:hyperlink r:id="rId13" w:history="1">
        <w:r w:rsidRPr="006A1F59">
          <w:rPr>
            <w:rStyle w:val="Hyperlink"/>
            <w:rFonts w:ascii="Arial" w:hAnsi="Arial" w:cs="Arial"/>
            <w:sz w:val="22"/>
            <w:szCs w:val="22"/>
            <w:lang w:eastAsia="en-GB"/>
          </w:rPr>
          <w:t>FAQs</w:t>
        </w:r>
      </w:hyperlink>
      <w:r w:rsidRPr="006A1F59">
        <w:rPr>
          <w:rFonts w:ascii="Arial" w:hAnsi="Arial" w:cs="Arial"/>
          <w:color w:val="000000"/>
          <w:sz w:val="22"/>
          <w:szCs w:val="22"/>
          <w:lang w:eastAsia="en-GB"/>
        </w:rPr>
        <w:t>.</w:t>
      </w:r>
    </w:p>
    <w:p w14:paraId="3A7CBF39" w14:textId="77777777" w:rsidR="006A1F59" w:rsidRDefault="006A1F59" w:rsidP="005C69E7">
      <w:pPr>
        <w:rPr>
          <w:rFonts w:ascii="Arial" w:hAnsi="Arial" w:cs="Arial"/>
          <w:bCs/>
          <w:sz w:val="22"/>
          <w:szCs w:val="22"/>
        </w:rPr>
      </w:pPr>
    </w:p>
    <w:p w14:paraId="0C8EE4D5" w14:textId="77777777" w:rsidR="00DD25A5" w:rsidRPr="00DD25A5" w:rsidRDefault="00DD25A5" w:rsidP="00DD25A5">
      <w:pPr>
        <w:textAlignment w:val="baseline"/>
        <w:rPr>
          <w:rFonts w:ascii="Arial" w:hAnsi="Arial" w:cs="Arial"/>
          <w:b/>
          <w:bCs/>
          <w:sz w:val="22"/>
          <w:szCs w:val="22"/>
          <w:lang w:eastAsia="en-GB"/>
        </w:rPr>
      </w:pPr>
      <w:r w:rsidRPr="00DD25A5">
        <w:rPr>
          <w:rFonts w:ascii="Arial" w:hAnsi="Arial" w:cs="Arial"/>
          <w:b/>
          <w:bCs/>
          <w:sz w:val="22"/>
          <w:szCs w:val="22"/>
          <w:lang w:eastAsia="en-GB"/>
        </w:rPr>
        <w:t xml:space="preserve">Announcement of future guidance to tax relief for self-employed on training costs </w:t>
      </w:r>
    </w:p>
    <w:p w14:paraId="0E9E8147" w14:textId="77777777" w:rsidR="00DD25A5" w:rsidRDefault="00DD25A5" w:rsidP="00DD25A5">
      <w:pPr>
        <w:rPr>
          <w:rFonts w:ascii="Arial" w:hAnsi="Arial" w:cs="Arial"/>
          <w:bCs/>
          <w:sz w:val="22"/>
          <w:szCs w:val="22"/>
        </w:rPr>
      </w:pPr>
      <w:r w:rsidRPr="00DD25A5">
        <w:rPr>
          <w:rFonts w:ascii="Arial" w:hAnsi="Arial" w:cs="Arial"/>
          <w:bCs/>
          <w:sz w:val="22"/>
          <w:szCs w:val="22"/>
        </w:rPr>
        <w:t>It has been announced that HMRC will clarify guidance to businesses on what training costs can be deductible for tax purposes. This will ensure that businesses can be confident that updating existing skills or maintaining pace with technological advances or changes in industry practices, are allowable costs when calculating the taxable profits of a business.</w:t>
      </w:r>
    </w:p>
    <w:p w14:paraId="50A877B1" w14:textId="77777777" w:rsidR="00DD25A5" w:rsidRPr="00DD25A5" w:rsidRDefault="00DD25A5" w:rsidP="00DD25A5">
      <w:pPr>
        <w:rPr>
          <w:rFonts w:ascii="Arial" w:hAnsi="Arial" w:cs="Arial"/>
          <w:bCs/>
          <w:sz w:val="22"/>
          <w:szCs w:val="22"/>
        </w:rPr>
      </w:pPr>
    </w:p>
    <w:p w14:paraId="71D24CC4" w14:textId="77777777" w:rsidR="00DD25A5" w:rsidRPr="00DD25A5" w:rsidRDefault="00DD25A5" w:rsidP="00DD25A5">
      <w:pPr>
        <w:rPr>
          <w:rFonts w:ascii="Arial" w:hAnsi="Arial" w:cs="Arial"/>
          <w:bCs/>
          <w:sz w:val="22"/>
          <w:szCs w:val="22"/>
        </w:rPr>
      </w:pPr>
      <w:r w:rsidRPr="00DD25A5">
        <w:rPr>
          <w:rFonts w:ascii="Arial" w:hAnsi="Arial" w:cs="Arial"/>
          <w:bCs/>
          <w:sz w:val="22"/>
          <w:szCs w:val="22"/>
        </w:rPr>
        <w:t>Simplified tax systems make it easier for individuals and businesses to understand and comply with tax regulations. This reduces the likelihood of errors and makes the process less burdensome. A simpler tax system can be more equitable, ensuring that taxpayers understand how their taxes are calculated and paid. It can also promote transparency in the tax process.</w:t>
      </w:r>
    </w:p>
    <w:p w14:paraId="1778B39A" w14:textId="77777777" w:rsidR="00DD25A5" w:rsidRDefault="00DD25A5" w:rsidP="005C69E7">
      <w:pPr>
        <w:rPr>
          <w:rFonts w:ascii="Arial" w:hAnsi="Arial" w:cs="Arial"/>
          <w:bCs/>
          <w:sz w:val="22"/>
          <w:szCs w:val="22"/>
        </w:rPr>
      </w:pPr>
    </w:p>
    <w:p w14:paraId="360746CF" w14:textId="77777777" w:rsidR="00294BDE" w:rsidRDefault="00294BDE" w:rsidP="005C69E7">
      <w:pPr>
        <w:rPr>
          <w:rFonts w:ascii="Arial" w:hAnsi="Arial" w:cs="Arial"/>
          <w:b/>
          <w:sz w:val="28"/>
          <w:szCs w:val="28"/>
        </w:rPr>
      </w:pPr>
    </w:p>
    <w:p w14:paraId="6EF66704" w14:textId="47C04441" w:rsidR="00543C12" w:rsidRPr="00A548BC" w:rsidRDefault="00543C12" w:rsidP="005C69E7">
      <w:pPr>
        <w:rPr>
          <w:rFonts w:ascii="Arial" w:hAnsi="Arial" w:cs="Arial"/>
          <w:b/>
          <w:sz w:val="28"/>
          <w:szCs w:val="28"/>
        </w:rPr>
      </w:pPr>
      <w:r w:rsidRPr="00A548BC">
        <w:rPr>
          <w:rFonts w:ascii="Arial" w:hAnsi="Arial" w:cs="Arial"/>
          <w:b/>
          <w:sz w:val="28"/>
          <w:szCs w:val="28"/>
        </w:rPr>
        <w:t>INDIVIDUALS</w:t>
      </w:r>
    </w:p>
    <w:p w14:paraId="45FD1126" w14:textId="77777777" w:rsidR="005C69E7" w:rsidRPr="00CF20CF" w:rsidRDefault="005C69E7" w:rsidP="0065704D">
      <w:pPr>
        <w:rPr>
          <w:rFonts w:ascii="Arial" w:hAnsi="Arial" w:cs="Arial"/>
          <w:sz w:val="22"/>
          <w:szCs w:val="22"/>
        </w:rPr>
      </w:pPr>
    </w:p>
    <w:p w14:paraId="0FC4E9BF" w14:textId="08BE41FF" w:rsidR="00CA3F40" w:rsidRPr="003A0A26" w:rsidRDefault="00CA3F40" w:rsidP="00CA3F40">
      <w:pPr>
        <w:rPr>
          <w:rFonts w:ascii="Arial" w:eastAsiaTheme="minorHAnsi" w:hAnsi="Arial" w:cs="Arial"/>
          <w:b/>
          <w:bCs/>
          <w:sz w:val="22"/>
          <w:szCs w:val="22"/>
        </w:rPr>
      </w:pPr>
      <w:r w:rsidRPr="003A0A26">
        <w:rPr>
          <w:rFonts w:ascii="Arial" w:eastAsiaTheme="minorHAnsi" w:hAnsi="Arial" w:cs="Arial"/>
          <w:b/>
          <w:bCs/>
          <w:sz w:val="22"/>
          <w:szCs w:val="22"/>
        </w:rPr>
        <w:t xml:space="preserve">Income </w:t>
      </w:r>
      <w:r w:rsidR="009E564F" w:rsidRPr="003A0A26">
        <w:rPr>
          <w:rFonts w:ascii="Arial" w:eastAsiaTheme="minorHAnsi" w:hAnsi="Arial" w:cs="Arial"/>
          <w:b/>
          <w:bCs/>
          <w:sz w:val="22"/>
          <w:szCs w:val="22"/>
        </w:rPr>
        <w:t>t</w:t>
      </w:r>
      <w:r w:rsidRPr="003A0A26">
        <w:rPr>
          <w:rFonts w:ascii="Arial" w:eastAsiaTheme="minorHAnsi" w:hAnsi="Arial" w:cs="Arial"/>
          <w:b/>
          <w:bCs/>
          <w:sz w:val="22"/>
          <w:szCs w:val="22"/>
        </w:rPr>
        <w:t>ax</w:t>
      </w:r>
    </w:p>
    <w:p w14:paraId="5C8867D2" w14:textId="2D6B2452" w:rsidR="004C132D" w:rsidRPr="00621AFA" w:rsidRDefault="00A548BC" w:rsidP="004C132D">
      <w:pPr>
        <w:spacing w:after="210" w:line="288" w:lineRule="atLeast"/>
        <w:rPr>
          <w:rFonts w:ascii="Arial" w:hAnsi="Arial" w:cs="Arial"/>
          <w:color w:val="4C4C4C"/>
          <w:sz w:val="22"/>
          <w:szCs w:val="22"/>
          <w:u w:val="single"/>
          <w:lang w:eastAsia="en-GB"/>
        </w:rPr>
      </w:pPr>
      <w:r w:rsidRPr="00A548BC">
        <w:rPr>
          <w:rFonts w:ascii="Arial" w:hAnsi="Arial" w:cs="Arial"/>
          <w:sz w:val="22"/>
          <w:szCs w:val="22"/>
        </w:rPr>
        <w:t xml:space="preserve">As previously announced, </w:t>
      </w:r>
      <w:r w:rsidR="006D2DD0" w:rsidRPr="00A548BC">
        <w:rPr>
          <w:rFonts w:ascii="Arial" w:hAnsi="Arial" w:cs="Arial"/>
          <w:sz w:val="22"/>
          <w:szCs w:val="22"/>
        </w:rPr>
        <w:t xml:space="preserve">Personal tax thresholds </w:t>
      </w:r>
      <w:r w:rsidR="009E564F" w:rsidRPr="00A548BC">
        <w:rPr>
          <w:rFonts w:ascii="Arial" w:hAnsi="Arial" w:cs="Arial"/>
          <w:sz w:val="22"/>
          <w:szCs w:val="22"/>
        </w:rPr>
        <w:t xml:space="preserve">– </w:t>
      </w:r>
      <w:proofErr w:type="gramStart"/>
      <w:r w:rsidR="006D2DD0" w:rsidRPr="00A548BC">
        <w:rPr>
          <w:rFonts w:ascii="Arial" w:hAnsi="Arial" w:cs="Arial"/>
          <w:sz w:val="22"/>
          <w:szCs w:val="22"/>
        </w:rPr>
        <w:t>ie</w:t>
      </w:r>
      <w:proofErr w:type="gramEnd"/>
      <w:r w:rsidR="006D2DD0" w:rsidRPr="00A548BC">
        <w:rPr>
          <w:rFonts w:ascii="Arial" w:hAnsi="Arial" w:cs="Arial"/>
          <w:sz w:val="22"/>
          <w:szCs w:val="22"/>
        </w:rPr>
        <w:t xml:space="preserve"> personal allowance, basic and higher</w:t>
      </w:r>
      <w:r w:rsidR="00FB07CD" w:rsidRPr="00A548BC">
        <w:rPr>
          <w:rFonts w:ascii="Arial" w:hAnsi="Arial" w:cs="Arial"/>
          <w:sz w:val="22"/>
          <w:szCs w:val="22"/>
        </w:rPr>
        <w:t>-r</w:t>
      </w:r>
      <w:r w:rsidR="006D2DD0" w:rsidRPr="00A548BC">
        <w:rPr>
          <w:rFonts w:ascii="Arial" w:hAnsi="Arial" w:cs="Arial"/>
          <w:sz w:val="22"/>
          <w:szCs w:val="22"/>
        </w:rPr>
        <w:t xml:space="preserve">ate thresholds for income tax </w:t>
      </w:r>
      <w:r w:rsidRPr="00A548BC">
        <w:rPr>
          <w:rFonts w:ascii="Arial" w:hAnsi="Arial" w:cs="Arial"/>
          <w:sz w:val="22"/>
          <w:szCs w:val="22"/>
        </w:rPr>
        <w:t xml:space="preserve">have been frozen </w:t>
      </w:r>
      <w:r w:rsidR="006D2DD0" w:rsidRPr="00A548BC">
        <w:rPr>
          <w:rFonts w:ascii="Arial" w:hAnsi="Arial" w:cs="Arial"/>
          <w:sz w:val="22"/>
          <w:szCs w:val="22"/>
        </w:rPr>
        <w:t xml:space="preserve">until April 2028 at </w:t>
      </w:r>
      <w:r w:rsidRPr="00A548BC">
        <w:rPr>
          <w:rFonts w:ascii="Arial" w:hAnsi="Arial" w:cs="Arial"/>
          <w:sz w:val="22"/>
          <w:szCs w:val="22"/>
        </w:rPr>
        <w:t>the</w:t>
      </w:r>
      <w:r w:rsidR="006D2DD0" w:rsidRPr="00A548BC">
        <w:rPr>
          <w:rFonts w:ascii="Arial" w:hAnsi="Arial" w:cs="Arial"/>
          <w:sz w:val="22"/>
          <w:szCs w:val="22"/>
        </w:rPr>
        <w:t xml:space="preserve"> current level of £12,570 and £50,270.</w:t>
      </w:r>
      <w:r w:rsidR="004C132D" w:rsidRPr="00A548BC">
        <w:rPr>
          <w:rFonts w:ascii="Arial" w:hAnsi="Arial" w:cs="Arial"/>
          <w:sz w:val="22"/>
          <w:szCs w:val="22"/>
        </w:rPr>
        <w:t xml:space="preserve"> The additional rate threshold </w:t>
      </w:r>
      <w:r w:rsidRPr="00A548BC">
        <w:rPr>
          <w:rFonts w:ascii="Arial" w:hAnsi="Arial" w:cs="Arial"/>
          <w:sz w:val="22"/>
          <w:szCs w:val="22"/>
        </w:rPr>
        <w:t xml:space="preserve">was </w:t>
      </w:r>
      <w:r w:rsidR="004C132D" w:rsidRPr="00A548BC">
        <w:rPr>
          <w:rFonts w:ascii="Arial" w:hAnsi="Arial" w:cs="Arial"/>
          <w:sz w:val="22"/>
          <w:szCs w:val="22"/>
        </w:rPr>
        <w:t>reduced from £150,000 to £125,140 from 6 April 2023.</w:t>
      </w:r>
      <w:r w:rsidR="004C132D" w:rsidRPr="00621AFA">
        <w:rPr>
          <w:rFonts w:ascii="Arial" w:hAnsi="Arial" w:cs="Arial"/>
          <w:sz w:val="22"/>
          <w:szCs w:val="22"/>
        </w:rPr>
        <w:t xml:space="preserve"> </w:t>
      </w:r>
    </w:p>
    <w:p w14:paraId="204F8CBB" w14:textId="2805F0CA" w:rsidR="00621AFA" w:rsidRPr="0071799D" w:rsidRDefault="00621AFA" w:rsidP="0071799D">
      <w:pPr>
        <w:rPr>
          <w:rFonts w:ascii="Arial" w:eastAsiaTheme="minorHAnsi" w:hAnsi="Arial" w:cs="Arial"/>
          <w:b/>
          <w:bCs/>
          <w:sz w:val="22"/>
          <w:szCs w:val="22"/>
        </w:rPr>
      </w:pPr>
      <w:r w:rsidRPr="0071799D">
        <w:rPr>
          <w:rFonts w:ascii="Arial" w:eastAsiaTheme="minorHAnsi" w:hAnsi="Arial" w:cs="Arial"/>
          <w:b/>
          <w:bCs/>
          <w:sz w:val="22"/>
          <w:szCs w:val="22"/>
        </w:rPr>
        <w:t xml:space="preserve">Personal allowance for higher rates </w:t>
      </w:r>
      <w:r w:rsidR="00975AB9">
        <w:rPr>
          <w:rFonts w:ascii="Arial" w:eastAsiaTheme="minorHAnsi" w:hAnsi="Arial" w:cs="Arial"/>
          <w:b/>
          <w:bCs/>
          <w:sz w:val="22"/>
          <w:szCs w:val="22"/>
        </w:rPr>
        <w:t xml:space="preserve">from </w:t>
      </w:r>
      <w:r w:rsidRPr="0071799D">
        <w:rPr>
          <w:rFonts w:ascii="Arial" w:eastAsiaTheme="minorHAnsi" w:hAnsi="Arial" w:cs="Arial"/>
          <w:b/>
          <w:bCs/>
          <w:sz w:val="22"/>
          <w:szCs w:val="22"/>
        </w:rPr>
        <w:t>2023/24</w:t>
      </w:r>
    </w:p>
    <w:p w14:paraId="769EAC90" w14:textId="77777777" w:rsidR="00A446C5" w:rsidRPr="00324D12" w:rsidRDefault="00E87DE3" w:rsidP="00A446C5">
      <w:pPr>
        <w:rPr>
          <w:rFonts w:ascii="Arial" w:hAnsi="Arial" w:cs="Arial"/>
          <w:sz w:val="22"/>
          <w:szCs w:val="22"/>
        </w:rPr>
      </w:pPr>
      <w:r w:rsidRPr="00324D12">
        <w:rPr>
          <w:rFonts w:ascii="Arial" w:hAnsi="Arial" w:cs="Arial"/>
          <w:color w:val="4C4C4C"/>
          <w:sz w:val="22"/>
          <w:szCs w:val="22"/>
          <w:lang w:eastAsia="en-GB"/>
        </w:rPr>
        <w:t>Where annual income exceeds £100,000</w:t>
      </w:r>
      <w:r w:rsidR="00A446C5" w:rsidRPr="00324D12">
        <w:rPr>
          <w:rFonts w:ascii="Arial" w:hAnsi="Arial" w:cs="Arial"/>
          <w:color w:val="4C4C4C"/>
          <w:sz w:val="22"/>
          <w:szCs w:val="22"/>
          <w:lang w:eastAsia="en-GB"/>
        </w:rPr>
        <w:t>,</w:t>
      </w:r>
      <w:r w:rsidRPr="00324D12">
        <w:rPr>
          <w:rFonts w:ascii="Arial" w:hAnsi="Arial" w:cs="Arial"/>
          <w:color w:val="4C4C4C"/>
          <w:sz w:val="22"/>
          <w:szCs w:val="22"/>
          <w:lang w:eastAsia="en-GB"/>
        </w:rPr>
        <w:t xml:space="preserve"> </w:t>
      </w:r>
      <w:r w:rsidRPr="00324D12">
        <w:rPr>
          <w:rFonts w:ascii="Arial" w:hAnsi="Arial" w:cs="Arial"/>
          <w:sz w:val="22"/>
          <w:szCs w:val="22"/>
          <w:lang w:eastAsia="en-GB"/>
        </w:rPr>
        <w:t xml:space="preserve">personal allowance </w:t>
      </w:r>
      <w:r w:rsidR="006879ED" w:rsidRPr="00324D12">
        <w:rPr>
          <w:rFonts w:ascii="Arial" w:hAnsi="Arial" w:cs="Arial"/>
          <w:sz w:val="22"/>
          <w:szCs w:val="22"/>
          <w:lang w:eastAsia="en-GB"/>
        </w:rPr>
        <w:t xml:space="preserve">is lost at a rate of £1 </w:t>
      </w:r>
      <w:r w:rsidRPr="00324D12">
        <w:rPr>
          <w:rFonts w:ascii="Arial" w:hAnsi="Arial" w:cs="Arial"/>
          <w:sz w:val="22"/>
          <w:szCs w:val="22"/>
          <w:lang w:eastAsia="en-GB"/>
        </w:rPr>
        <w:t>for every £2 of income above £100,000. </w:t>
      </w:r>
      <w:r w:rsidRPr="00324D12">
        <w:rPr>
          <w:rFonts w:ascii="Arial" w:hAnsi="Arial" w:cs="Arial"/>
          <w:sz w:val="22"/>
          <w:szCs w:val="22"/>
        </w:rPr>
        <w:t xml:space="preserve">This is the threshold where the entire personal allowance is lost. </w:t>
      </w:r>
    </w:p>
    <w:p w14:paraId="302038FB" w14:textId="77777777" w:rsidR="00A446C5" w:rsidRPr="00324D12" w:rsidRDefault="00A446C5" w:rsidP="00A446C5">
      <w:pPr>
        <w:rPr>
          <w:rFonts w:ascii="Arial" w:hAnsi="Arial" w:cs="Arial"/>
          <w:sz w:val="22"/>
          <w:szCs w:val="22"/>
        </w:rPr>
      </w:pPr>
    </w:p>
    <w:p w14:paraId="4A65D21F" w14:textId="3F884FF5" w:rsidR="00621AFA" w:rsidRDefault="00621AFA" w:rsidP="00A446C5">
      <w:pPr>
        <w:rPr>
          <w:rFonts w:ascii="Arial" w:hAnsi="Arial" w:cs="Arial"/>
          <w:sz w:val="22"/>
          <w:szCs w:val="22"/>
        </w:rPr>
      </w:pPr>
      <w:r w:rsidRPr="00324D12">
        <w:rPr>
          <w:rFonts w:ascii="Arial" w:hAnsi="Arial" w:cs="Arial"/>
          <w:sz w:val="22"/>
          <w:szCs w:val="22"/>
          <w:lang w:eastAsia="en-GB"/>
        </w:rPr>
        <w:t xml:space="preserve">The loss of the personal allowance means a person is taxed at 40% on the additional £2 of income, and they also pay an extra 40% on the £1 of personal allowance lost. </w:t>
      </w:r>
      <w:r w:rsidR="00324D12" w:rsidRPr="00324D12">
        <w:rPr>
          <w:rFonts w:ascii="Arial" w:hAnsi="Arial" w:cs="Arial"/>
          <w:sz w:val="22"/>
          <w:szCs w:val="22"/>
          <w:lang w:eastAsia="en-GB"/>
        </w:rPr>
        <w:t xml:space="preserve">This </w:t>
      </w:r>
      <w:r w:rsidRPr="00324D12">
        <w:rPr>
          <w:rFonts w:ascii="Arial" w:hAnsi="Arial" w:cs="Arial"/>
          <w:sz w:val="22"/>
          <w:szCs w:val="22"/>
          <w:lang w:eastAsia="en-GB"/>
        </w:rPr>
        <w:t xml:space="preserve">results in a marginal rate of 60%, which continues up to £125,140 (£100,000 + (£12,570 x 2)). At the £125,140 point the entire personal allowance </w:t>
      </w:r>
      <w:r w:rsidR="00BB55F2" w:rsidRPr="00324D12">
        <w:rPr>
          <w:rFonts w:ascii="Arial" w:hAnsi="Arial" w:cs="Arial"/>
          <w:sz w:val="22"/>
          <w:szCs w:val="22"/>
          <w:lang w:eastAsia="en-GB"/>
        </w:rPr>
        <w:t xml:space="preserve">is </w:t>
      </w:r>
      <w:r w:rsidRPr="00324D12">
        <w:rPr>
          <w:rFonts w:ascii="Arial" w:hAnsi="Arial" w:cs="Arial"/>
          <w:sz w:val="22"/>
          <w:szCs w:val="22"/>
          <w:lang w:eastAsia="en-GB"/>
        </w:rPr>
        <w:t>lost.</w:t>
      </w:r>
    </w:p>
    <w:p w14:paraId="5D61D2E6" w14:textId="77777777" w:rsidR="00740C51" w:rsidRDefault="00740C51" w:rsidP="007A2223">
      <w:pPr>
        <w:rPr>
          <w:rFonts w:ascii="Arial" w:hAnsi="Arial" w:cs="Arial"/>
          <w:b/>
          <w:bCs/>
          <w:sz w:val="22"/>
          <w:szCs w:val="22"/>
        </w:rPr>
      </w:pPr>
    </w:p>
    <w:p w14:paraId="5C77874D" w14:textId="3ADD786D" w:rsidR="009B5FF5" w:rsidRPr="00552B71" w:rsidRDefault="009B5FF5" w:rsidP="007A2223">
      <w:pPr>
        <w:rPr>
          <w:rFonts w:ascii="Arial" w:hAnsi="Arial" w:cs="Arial"/>
          <w:b/>
          <w:bCs/>
          <w:sz w:val="22"/>
          <w:szCs w:val="22"/>
        </w:rPr>
      </w:pPr>
      <w:r w:rsidRPr="00552B71">
        <w:rPr>
          <w:rFonts w:ascii="Arial" w:hAnsi="Arial" w:cs="Arial"/>
          <w:b/>
          <w:bCs/>
          <w:sz w:val="22"/>
          <w:szCs w:val="22"/>
        </w:rPr>
        <w:lastRenderedPageBreak/>
        <w:t xml:space="preserve">National </w:t>
      </w:r>
      <w:r w:rsidR="009E564F" w:rsidRPr="00552B71">
        <w:rPr>
          <w:rFonts w:ascii="Arial" w:hAnsi="Arial" w:cs="Arial"/>
          <w:b/>
          <w:bCs/>
          <w:sz w:val="22"/>
          <w:szCs w:val="22"/>
        </w:rPr>
        <w:t>i</w:t>
      </w:r>
      <w:r w:rsidRPr="00552B71">
        <w:rPr>
          <w:rFonts w:ascii="Arial" w:hAnsi="Arial" w:cs="Arial"/>
          <w:b/>
          <w:bCs/>
          <w:sz w:val="22"/>
          <w:szCs w:val="22"/>
        </w:rPr>
        <w:t>nsurance</w:t>
      </w:r>
    </w:p>
    <w:p w14:paraId="30793E35" w14:textId="7575C903" w:rsidR="00B8172D" w:rsidRDefault="003D255E" w:rsidP="003D255E">
      <w:pPr>
        <w:rPr>
          <w:rFonts w:ascii="Arial" w:hAnsi="Arial" w:cs="Arial"/>
          <w:sz w:val="22"/>
          <w:szCs w:val="22"/>
        </w:rPr>
      </w:pPr>
      <w:r w:rsidRPr="00D517A8">
        <w:rPr>
          <w:rFonts w:ascii="Arial" w:hAnsi="Arial" w:cs="Arial"/>
          <w:sz w:val="22"/>
          <w:szCs w:val="22"/>
        </w:rPr>
        <w:t xml:space="preserve">The national insurance thresholds for all classes </w:t>
      </w:r>
      <w:r w:rsidR="00027568">
        <w:rPr>
          <w:rFonts w:ascii="Arial" w:hAnsi="Arial" w:cs="Arial"/>
          <w:sz w:val="22"/>
          <w:szCs w:val="22"/>
        </w:rPr>
        <w:t xml:space="preserve">were previously announced to </w:t>
      </w:r>
      <w:r w:rsidRPr="00D517A8">
        <w:rPr>
          <w:rFonts w:ascii="Arial" w:hAnsi="Arial" w:cs="Arial"/>
          <w:sz w:val="22"/>
          <w:szCs w:val="22"/>
        </w:rPr>
        <w:t xml:space="preserve">be </w:t>
      </w:r>
      <w:r w:rsidR="00027568">
        <w:rPr>
          <w:rFonts w:ascii="Arial" w:hAnsi="Arial" w:cs="Arial"/>
          <w:sz w:val="22"/>
          <w:szCs w:val="22"/>
        </w:rPr>
        <w:t>frozen</w:t>
      </w:r>
      <w:r w:rsidRPr="00D517A8">
        <w:rPr>
          <w:rFonts w:ascii="Arial" w:hAnsi="Arial" w:cs="Arial"/>
          <w:sz w:val="22"/>
          <w:szCs w:val="22"/>
        </w:rPr>
        <w:t xml:space="preserve"> until April 2028 at </w:t>
      </w:r>
      <w:r w:rsidR="009E564F" w:rsidRPr="00D517A8">
        <w:rPr>
          <w:rFonts w:ascii="Arial" w:hAnsi="Arial" w:cs="Arial"/>
          <w:sz w:val="22"/>
          <w:szCs w:val="22"/>
        </w:rPr>
        <w:t>the</w:t>
      </w:r>
      <w:r w:rsidRPr="00D517A8">
        <w:rPr>
          <w:rFonts w:ascii="Arial" w:hAnsi="Arial" w:cs="Arial"/>
          <w:sz w:val="22"/>
          <w:szCs w:val="22"/>
        </w:rPr>
        <w:t xml:space="preserve"> current level</w:t>
      </w:r>
      <w:r w:rsidR="00027568">
        <w:rPr>
          <w:rFonts w:ascii="Arial" w:hAnsi="Arial" w:cs="Arial"/>
          <w:sz w:val="22"/>
          <w:szCs w:val="22"/>
        </w:rPr>
        <w:t xml:space="preserve">s – for detailed tax rates and thresholds </w:t>
      </w:r>
      <w:r w:rsidR="00B63FE1">
        <w:rPr>
          <w:rFonts w:ascii="Arial" w:hAnsi="Arial" w:cs="Arial"/>
          <w:sz w:val="22"/>
          <w:szCs w:val="22"/>
        </w:rPr>
        <w:t xml:space="preserve">up to 2022/23 </w:t>
      </w:r>
      <w:r w:rsidR="00B8172D">
        <w:rPr>
          <w:rFonts w:ascii="Arial" w:hAnsi="Arial" w:cs="Arial"/>
          <w:sz w:val="22"/>
          <w:szCs w:val="22"/>
        </w:rPr>
        <w:t xml:space="preserve">download the </w:t>
      </w:r>
      <w:hyperlink r:id="rId14" w:history="1">
        <w:r w:rsidR="00B8172D" w:rsidRPr="00F042D6">
          <w:rPr>
            <w:rStyle w:val="Hyperlink"/>
            <w:rFonts w:ascii="Arial" w:hAnsi="Arial" w:cs="Arial"/>
            <w:sz w:val="22"/>
            <w:szCs w:val="22"/>
          </w:rPr>
          <w:t>ACCA Spring Budget Tax Rates and Tables</w:t>
        </w:r>
      </w:hyperlink>
      <w:r w:rsidR="00B8172D">
        <w:rPr>
          <w:rFonts w:ascii="Arial" w:hAnsi="Arial" w:cs="Arial"/>
          <w:sz w:val="22"/>
          <w:szCs w:val="22"/>
        </w:rPr>
        <w:t xml:space="preserve"> guide</w:t>
      </w:r>
      <w:r w:rsidRPr="00D517A8">
        <w:rPr>
          <w:rFonts w:ascii="Arial" w:hAnsi="Arial" w:cs="Arial"/>
          <w:sz w:val="22"/>
          <w:szCs w:val="22"/>
        </w:rPr>
        <w:t xml:space="preserve">. </w:t>
      </w:r>
    </w:p>
    <w:p w14:paraId="591735A7" w14:textId="77777777" w:rsidR="00B8172D" w:rsidRDefault="00B8172D" w:rsidP="003D255E">
      <w:pPr>
        <w:rPr>
          <w:rFonts w:ascii="Arial" w:hAnsi="Arial" w:cs="Arial"/>
          <w:sz w:val="22"/>
          <w:szCs w:val="22"/>
        </w:rPr>
      </w:pPr>
    </w:p>
    <w:p w14:paraId="52E35278" w14:textId="77777777" w:rsidR="00F82120" w:rsidRDefault="003D255E" w:rsidP="002E35CA">
      <w:pPr>
        <w:pStyle w:val="NormalWeb"/>
        <w:shd w:val="clear" w:color="auto" w:fill="FFFFFF"/>
        <w:spacing w:before="0" w:beforeAutospacing="0" w:after="300" w:afterAutospacing="0"/>
        <w:rPr>
          <w:rFonts w:ascii="Arial" w:hAnsi="Arial" w:cs="Arial"/>
          <w:sz w:val="22"/>
          <w:szCs w:val="22"/>
        </w:rPr>
      </w:pPr>
      <w:r w:rsidRPr="00902E80">
        <w:rPr>
          <w:rFonts w:ascii="Arial" w:hAnsi="Arial" w:cs="Arial"/>
          <w:sz w:val="22"/>
          <w:szCs w:val="22"/>
        </w:rPr>
        <w:t xml:space="preserve">The employment allowance </w:t>
      </w:r>
      <w:r w:rsidR="00B8172D" w:rsidRPr="00902E80">
        <w:rPr>
          <w:rFonts w:ascii="Arial" w:hAnsi="Arial" w:cs="Arial"/>
          <w:sz w:val="22"/>
          <w:szCs w:val="22"/>
        </w:rPr>
        <w:t>continues at</w:t>
      </w:r>
      <w:r w:rsidRPr="00902E80">
        <w:rPr>
          <w:rFonts w:ascii="Arial" w:hAnsi="Arial" w:cs="Arial"/>
          <w:sz w:val="22"/>
          <w:szCs w:val="22"/>
        </w:rPr>
        <w:t xml:space="preserve"> </w:t>
      </w:r>
      <w:r w:rsidR="009E564F" w:rsidRPr="00902E80">
        <w:rPr>
          <w:rFonts w:ascii="Arial" w:hAnsi="Arial" w:cs="Arial"/>
          <w:sz w:val="22"/>
          <w:szCs w:val="22"/>
        </w:rPr>
        <w:t xml:space="preserve">the </w:t>
      </w:r>
      <w:r w:rsidRPr="00902E80">
        <w:rPr>
          <w:rFonts w:ascii="Arial" w:hAnsi="Arial" w:cs="Arial"/>
          <w:sz w:val="22"/>
          <w:szCs w:val="22"/>
        </w:rPr>
        <w:t xml:space="preserve">current level of £5,000. </w:t>
      </w:r>
    </w:p>
    <w:p w14:paraId="5412C803" w14:textId="77777777" w:rsidR="00F82120" w:rsidRPr="00230507" w:rsidRDefault="00F82120" w:rsidP="002E35CA">
      <w:pPr>
        <w:pStyle w:val="NormalWeb"/>
        <w:shd w:val="clear" w:color="auto" w:fill="FFFFFF"/>
        <w:spacing w:before="0" w:beforeAutospacing="0" w:after="300" w:afterAutospacing="0"/>
        <w:rPr>
          <w:rFonts w:ascii="Arial" w:hAnsi="Arial" w:cs="Arial"/>
          <w:sz w:val="22"/>
          <w:szCs w:val="22"/>
        </w:rPr>
      </w:pPr>
      <w:r w:rsidRPr="00230507">
        <w:rPr>
          <w:rFonts w:ascii="Arial" w:hAnsi="Arial" w:cs="Arial"/>
          <w:sz w:val="22"/>
          <w:szCs w:val="22"/>
        </w:rPr>
        <w:t xml:space="preserve">The government is extending the NICs relief for employers of eligible veterans for one year. The relief means businesses pay no employer NICs on annual earnings up to £50,270 for the first year of a qualifying veteran’s employment in a civilian role. </w:t>
      </w:r>
    </w:p>
    <w:p w14:paraId="2CAD491B" w14:textId="56B55AD1" w:rsidR="00D31941" w:rsidRPr="00D31941" w:rsidRDefault="00D31941" w:rsidP="00D31941">
      <w:pPr>
        <w:rPr>
          <w:rFonts w:ascii="Arial" w:hAnsi="Arial" w:cs="Arial"/>
          <w:sz w:val="22"/>
          <w:szCs w:val="22"/>
        </w:rPr>
      </w:pPr>
      <w:r w:rsidRPr="00D31941">
        <w:rPr>
          <w:rFonts w:ascii="Arial" w:hAnsi="Arial" w:cs="Arial"/>
          <w:sz w:val="22"/>
          <w:szCs w:val="22"/>
        </w:rPr>
        <w:t>The weekly Class 2 NICs – the flat rate compulsory charge which is currently £3.45 paid by self-employed people earning more than £12,570 - will be abolished</w:t>
      </w:r>
      <w:r w:rsidR="00D9591E">
        <w:rPr>
          <w:rFonts w:ascii="Arial" w:hAnsi="Arial" w:cs="Arial"/>
          <w:sz w:val="22"/>
          <w:szCs w:val="22"/>
        </w:rPr>
        <w:t xml:space="preserve"> </w:t>
      </w:r>
      <w:r w:rsidRPr="00D31941">
        <w:rPr>
          <w:rFonts w:ascii="Arial" w:hAnsi="Arial" w:cs="Arial"/>
          <w:sz w:val="22"/>
          <w:szCs w:val="22"/>
        </w:rPr>
        <w:t>from April 2024. Access to contributory benefits will be maintained and those currently paying voluntarily will still be able to do so at the same rate.</w:t>
      </w:r>
    </w:p>
    <w:p w14:paraId="30FEC072" w14:textId="77777777" w:rsidR="00453897" w:rsidRDefault="00453897" w:rsidP="003D255E">
      <w:pPr>
        <w:rPr>
          <w:rFonts w:ascii="Arial" w:hAnsi="Arial" w:cs="Arial"/>
          <w:sz w:val="22"/>
          <w:szCs w:val="22"/>
        </w:rPr>
      </w:pPr>
    </w:p>
    <w:p w14:paraId="366073B4" w14:textId="77777777" w:rsidR="008876E4" w:rsidRPr="008876E4" w:rsidRDefault="008876E4" w:rsidP="008876E4">
      <w:pPr>
        <w:rPr>
          <w:rFonts w:ascii="Arial" w:hAnsi="Arial" w:cs="Arial"/>
          <w:sz w:val="22"/>
          <w:szCs w:val="22"/>
        </w:rPr>
      </w:pPr>
      <w:r w:rsidRPr="008876E4">
        <w:rPr>
          <w:rFonts w:ascii="Arial" w:hAnsi="Arial" w:cs="Arial"/>
          <w:sz w:val="22"/>
          <w:szCs w:val="22"/>
        </w:rPr>
        <w:t>The rate of Class 4 NICs on all earnings between £12,570 and £50,270 will be cut by 1p, from 9% to 8% from April 2024.</w:t>
      </w:r>
    </w:p>
    <w:p w14:paraId="6F3D825D" w14:textId="77777777" w:rsidR="00B5641A" w:rsidRDefault="00B5641A" w:rsidP="003D255E">
      <w:pPr>
        <w:rPr>
          <w:rFonts w:ascii="Arial" w:hAnsi="Arial" w:cs="Arial"/>
          <w:sz w:val="22"/>
          <w:szCs w:val="22"/>
        </w:rPr>
      </w:pPr>
    </w:p>
    <w:p w14:paraId="2DB41837" w14:textId="3F31C2B5" w:rsidR="00A34735" w:rsidRDefault="00B5641A" w:rsidP="003D255E">
      <w:pPr>
        <w:rPr>
          <w:rFonts w:ascii="Arial" w:hAnsi="Arial" w:cs="Arial"/>
          <w:sz w:val="22"/>
          <w:szCs w:val="22"/>
        </w:rPr>
      </w:pPr>
      <w:r>
        <w:rPr>
          <w:rFonts w:ascii="Arial" w:hAnsi="Arial" w:cs="Arial"/>
          <w:sz w:val="22"/>
          <w:szCs w:val="22"/>
        </w:rPr>
        <w:t>Class 1 contributions for</w:t>
      </w:r>
      <w:r w:rsidR="00DF31C0">
        <w:rPr>
          <w:rFonts w:ascii="Arial" w:hAnsi="Arial" w:cs="Arial"/>
          <w:sz w:val="22"/>
          <w:szCs w:val="22"/>
        </w:rPr>
        <w:t xml:space="preserve"> employees </w:t>
      </w:r>
      <w:r w:rsidR="006D01D6">
        <w:rPr>
          <w:rFonts w:ascii="Arial" w:hAnsi="Arial" w:cs="Arial"/>
          <w:sz w:val="22"/>
          <w:szCs w:val="22"/>
        </w:rPr>
        <w:t xml:space="preserve">will be </w:t>
      </w:r>
      <w:r w:rsidR="00DF31C0">
        <w:rPr>
          <w:rFonts w:ascii="Arial" w:hAnsi="Arial" w:cs="Arial"/>
          <w:sz w:val="22"/>
          <w:szCs w:val="22"/>
        </w:rPr>
        <w:t xml:space="preserve">reduced </w:t>
      </w:r>
      <w:r w:rsidR="00B25E55">
        <w:rPr>
          <w:rFonts w:ascii="Arial" w:hAnsi="Arial" w:cs="Arial"/>
          <w:sz w:val="22"/>
          <w:szCs w:val="22"/>
        </w:rPr>
        <w:t xml:space="preserve">from 12% </w:t>
      </w:r>
      <w:r w:rsidR="00DF31C0">
        <w:rPr>
          <w:rFonts w:ascii="Arial" w:hAnsi="Arial" w:cs="Arial"/>
          <w:sz w:val="22"/>
          <w:szCs w:val="22"/>
        </w:rPr>
        <w:t>to 10% from 6 January 2024.</w:t>
      </w:r>
    </w:p>
    <w:p w14:paraId="3965EFD4" w14:textId="77777777" w:rsidR="00D517A8" w:rsidRDefault="00D517A8" w:rsidP="003D255E">
      <w:pPr>
        <w:rPr>
          <w:rFonts w:ascii="Arial" w:hAnsi="Arial" w:cs="Arial"/>
          <w:sz w:val="22"/>
          <w:szCs w:val="22"/>
        </w:rPr>
      </w:pPr>
    </w:p>
    <w:p w14:paraId="08F9D59A" w14:textId="6F0F6D1E" w:rsidR="00D64D0C" w:rsidRPr="006F5AF3" w:rsidRDefault="00D64D0C" w:rsidP="00D64D0C">
      <w:pPr>
        <w:rPr>
          <w:rFonts w:ascii="Arial" w:hAnsi="Arial" w:cs="Arial"/>
          <w:b/>
          <w:bCs/>
          <w:sz w:val="22"/>
          <w:szCs w:val="22"/>
        </w:rPr>
      </w:pPr>
      <w:r w:rsidRPr="006F5AF3">
        <w:rPr>
          <w:rFonts w:ascii="Arial" w:hAnsi="Arial" w:cs="Arial"/>
          <w:b/>
          <w:bCs/>
          <w:sz w:val="22"/>
          <w:szCs w:val="22"/>
        </w:rPr>
        <w:t>Capital gains tax: reduce</w:t>
      </w:r>
      <w:r>
        <w:rPr>
          <w:rFonts w:ascii="Arial" w:hAnsi="Arial" w:cs="Arial"/>
          <w:b/>
          <w:bCs/>
          <w:sz w:val="22"/>
          <w:szCs w:val="22"/>
        </w:rPr>
        <w:t>d</w:t>
      </w:r>
      <w:r w:rsidRPr="006F5AF3">
        <w:rPr>
          <w:rFonts w:ascii="Arial" w:hAnsi="Arial" w:cs="Arial"/>
          <w:b/>
          <w:bCs/>
          <w:sz w:val="22"/>
          <w:szCs w:val="22"/>
        </w:rPr>
        <w:t xml:space="preserve"> annual </w:t>
      </w:r>
      <w:proofErr w:type="gramStart"/>
      <w:r w:rsidRPr="006F5AF3">
        <w:rPr>
          <w:rFonts w:ascii="Arial" w:hAnsi="Arial" w:cs="Arial"/>
          <w:b/>
          <w:bCs/>
          <w:sz w:val="22"/>
          <w:szCs w:val="22"/>
        </w:rPr>
        <w:t>exempt</w:t>
      </w:r>
      <w:r>
        <w:rPr>
          <w:rFonts w:ascii="Arial" w:hAnsi="Arial" w:cs="Arial"/>
          <w:b/>
          <w:bCs/>
          <w:sz w:val="22"/>
          <w:szCs w:val="22"/>
        </w:rPr>
        <w:t>ion</w:t>
      </w:r>
      <w:proofErr w:type="gramEnd"/>
      <w:r w:rsidRPr="006F5AF3">
        <w:rPr>
          <w:rFonts w:ascii="Arial" w:hAnsi="Arial" w:cs="Arial"/>
          <w:b/>
          <w:bCs/>
          <w:sz w:val="22"/>
          <w:szCs w:val="22"/>
        </w:rPr>
        <w:t xml:space="preserve"> </w:t>
      </w:r>
    </w:p>
    <w:p w14:paraId="73842FFC" w14:textId="49F624A2" w:rsidR="00D64D0C" w:rsidRPr="006F5AF3" w:rsidRDefault="00D64D0C" w:rsidP="00D64D0C">
      <w:pPr>
        <w:rPr>
          <w:rFonts w:ascii="Arial" w:hAnsi="Arial" w:cs="Arial"/>
          <w:sz w:val="22"/>
          <w:szCs w:val="22"/>
        </w:rPr>
      </w:pPr>
      <w:r w:rsidRPr="0054554E">
        <w:rPr>
          <w:rFonts w:ascii="Arial" w:hAnsi="Arial" w:cs="Arial"/>
          <w:sz w:val="22"/>
          <w:szCs w:val="22"/>
        </w:rPr>
        <w:t xml:space="preserve">As previously announced, the annual exemption amount for capital gains tax for individuals </w:t>
      </w:r>
      <w:r w:rsidR="00BB2231">
        <w:rPr>
          <w:rFonts w:ascii="Arial" w:hAnsi="Arial" w:cs="Arial"/>
          <w:sz w:val="22"/>
          <w:szCs w:val="22"/>
        </w:rPr>
        <w:t xml:space="preserve">reduced </w:t>
      </w:r>
      <w:r w:rsidRPr="0054554E">
        <w:rPr>
          <w:rFonts w:ascii="Arial" w:hAnsi="Arial" w:cs="Arial"/>
          <w:sz w:val="22"/>
          <w:szCs w:val="22"/>
        </w:rPr>
        <w:t>from £12,300 to £6,000 from April 2023</w:t>
      </w:r>
      <w:r w:rsidR="00BB2231">
        <w:rPr>
          <w:rFonts w:ascii="Arial" w:hAnsi="Arial" w:cs="Arial"/>
          <w:sz w:val="22"/>
          <w:szCs w:val="22"/>
        </w:rPr>
        <w:t xml:space="preserve">. This will reduce further down to </w:t>
      </w:r>
      <w:r w:rsidRPr="0054554E">
        <w:rPr>
          <w:rFonts w:ascii="Arial" w:hAnsi="Arial" w:cs="Arial"/>
          <w:sz w:val="22"/>
          <w:szCs w:val="22"/>
        </w:rPr>
        <w:t>£3,000 from April 2024.</w:t>
      </w:r>
      <w:r w:rsidRPr="006F5AF3">
        <w:rPr>
          <w:rFonts w:ascii="Arial" w:hAnsi="Arial" w:cs="Arial"/>
          <w:sz w:val="22"/>
          <w:szCs w:val="22"/>
        </w:rPr>
        <w:t xml:space="preserve"> </w:t>
      </w:r>
    </w:p>
    <w:p w14:paraId="76DBC4A5" w14:textId="77777777" w:rsidR="00DF31C0" w:rsidRDefault="00DF31C0" w:rsidP="003D255E">
      <w:pPr>
        <w:rPr>
          <w:rFonts w:ascii="Arial" w:hAnsi="Arial" w:cs="Arial"/>
          <w:sz w:val="22"/>
          <w:szCs w:val="22"/>
        </w:rPr>
      </w:pPr>
    </w:p>
    <w:p w14:paraId="09EC3898" w14:textId="7EB73AE2" w:rsidR="00CF0B65" w:rsidRPr="002A7A4F" w:rsidRDefault="00CF0B65" w:rsidP="00CF0B65">
      <w:pPr>
        <w:rPr>
          <w:rFonts w:ascii="Arial" w:hAnsi="Arial" w:cs="Arial"/>
          <w:b/>
          <w:bCs/>
          <w:sz w:val="22"/>
          <w:szCs w:val="22"/>
        </w:rPr>
      </w:pPr>
      <w:r w:rsidRPr="002A7A4F">
        <w:rPr>
          <w:rFonts w:ascii="Arial" w:hAnsi="Arial" w:cs="Arial"/>
          <w:b/>
          <w:bCs/>
          <w:sz w:val="22"/>
          <w:szCs w:val="22"/>
        </w:rPr>
        <w:t xml:space="preserve">National </w:t>
      </w:r>
      <w:r w:rsidR="001B0198">
        <w:rPr>
          <w:rFonts w:ascii="Arial" w:hAnsi="Arial" w:cs="Arial"/>
          <w:b/>
          <w:bCs/>
          <w:sz w:val="22"/>
          <w:szCs w:val="22"/>
        </w:rPr>
        <w:t>Minimum</w:t>
      </w:r>
      <w:r w:rsidRPr="002A7A4F">
        <w:rPr>
          <w:rFonts w:ascii="Arial" w:hAnsi="Arial" w:cs="Arial"/>
          <w:b/>
          <w:bCs/>
          <w:sz w:val="22"/>
          <w:szCs w:val="22"/>
        </w:rPr>
        <w:t xml:space="preserve"> Wage</w:t>
      </w:r>
    </w:p>
    <w:p w14:paraId="03F9E6A6" w14:textId="4A7D7A90" w:rsidR="00CF0B65" w:rsidRDefault="004E53D5" w:rsidP="009E564F">
      <w:pPr>
        <w:rPr>
          <w:rFonts w:ascii="Arial" w:hAnsi="Arial" w:cs="Arial"/>
          <w:sz w:val="22"/>
          <w:szCs w:val="22"/>
          <w:lang w:val="en-US"/>
        </w:rPr>
      </w:pPr>
      <w:r w:rsidRPr="002A7A4F">
        <w:rPr>
          <w:rFonts w:ascii="Arial" w:hAnsi="Arial" w:cs="Arial"/>
          <w:sz w:val="22"/>
          <w:szCs w:val="22"/>
          <w:lang w:val="en-US"/>
        </w:rPr>
        <w:t>From 1 April 202</w:t>
      </w:r>
      <w:r w:rsidR="005150B4">
        <w:rPr>
          <w:rFonts w:ascii="Arial" w:hAnsi="Arial" w:cs="Arial"/>
          <w:sz w:val="22"/>
          <w:szCs w:val="22"/>
          <w:lang w:val="en-US"/>
        </w:rPr>
        <w:t>4</w:t>
      </w:r>
      <w:r w:rsidRPr="002A7A4F">
        <w:rPr>
          <w:rFonts w:ascii="Arial" w:hAnsi="Arial" w:cs="Arial"/>
          <w:sz w:val="22"/>
          <w:szCs w:val="22"/>
          <w:lang w:val="en-US"/>
        </w:rPr>
        <w:t xml:space="preserve">, the National </w:t>
      </w:r>
      <w:r w:rsidR="001B0198">
        <w:rPr>
          <w:rFonts w:ascii="Arial" w:hAnsi="Arial" w:cs="Arial"/>
          <w:sz w:val="22"/>
          <w:szCs w:val="22"/>
          <w:lang w:val="en-US"/>
        </w:rPr>
        <w:t>Minimum</w:t>
      </w:r>
      <w:r w:rsidRPr="002A7A4F">
        <w:rPr>
          <w:rFonts w:ascii="Arial" w:hAnsi="Arial" w:cs="Arial"/>
          <w:sz w:val="22"/>
          <w:szCs w:val="22"/>
          <w:lang w:val="en-US"/>
        </w:rPr>
        <w:t xml:space="preserve"> Wage </w:t>
      </w:r>
      <w:r w:rsidR="002A7A4F" w:rsidRPr="002A7A4F">
        <w:rPr>
          <w:rFonts w:ascii="Arial" w:hAnsi="Arial" w:cs="Arial"/>
          <w:sz w:val="22"/>
          <w:szCs w:val="22"/>
          <w:lang w:val="en-US"/>
        </w:rPr>
        <w:t xml:space="preserve">is increased </w:t>
      </w:r>
      <w:r w:rsidRPr="002A7A4F">
        <w:rPr>
          <w:rFonts w:ascii="Arial" w:hAnsi="Arial" w:cs="Arial"/>
          <w:sz w:val="22"/>
          <w:szCs w:val="22"/>
          <w:lang w:val="en-US"/>
        </w:rPr>
        <w:t>to £1</w:t>
      </w:r>
      <w:r w:rsidR="0087292D">
        <w:rPr>
          <w:rFonts w:ascii="Arial" w:hAnsi="Arial" w:cs="Arial"/>
          <w:sz w:val="22"/>
          <w:szCs w:val="22"/>
          <w:lang w:val="en-US"/>
        </w:rPr>
        <w:t>1</w:t>
      </w:r>
      <w:r w:rsidRPr="002A7A4F">
        <w:rPr>
          <w:rFonts w:ascii="Arial" w:hAnsi="Arial" w:cs="Arial"/>
          <w:sz w:val="22"/>
          <w:szCs w:val="22"/>
          <w:lang w:val="en-US"/>
        </w:rPr>
        <w:t>.4</w:t>
      </w:r>
      <w:r w:rsidR="0087292D">
        <w:rPr>
          <w:rFonts w:ascii="Arial" w:hAnsi="Arial" w:cs="Arial"/>
          <w:sz w:val="22"/>
          <w:szCs w:val="22"/>
          <w:lang w:val="en-US"/>
        </w:rPr>
        <w:t>4</w:t>
      </w:r>
      <w:r w:rsidRPr="002A7A4F">
        <w:rPr>
          <w:rFonts w:ascii="Arial" w:hAnsi="Arial" w:cs="Arial"/>
          <w:sz w:val="22"/>
          <w:szCs w:val="22"/>
          <w:lang w:val="en-US"/>
        </w:rPr>
        <w:t xml:space="preserve"> an hour, for those aged 2</w:t>
      </w:r>
      <w:r w:rsidR="005150B4">
        <w:rPr>
          <w:rFonts w:ascii="Arial" w:hAnsi="Arial" w:cs="Arial"/>
          <w:sz w:val="22"/>
          <w:szCs w:val="22"/>
          <w:lang w:val="en-US"/>
        </w:rPr>
        <w:t>1</w:t>
      </w:r>
      <w:r w:rsidRPr="002A7A4F">
        <w:rPr>
          <w:rFonts w:ascii="Arial" w:hAnsi="Arial" w:cs="Arial"/>
          <w:sz w:val="22"/>
          <w:szCs w:val="22"/>
          <w:lang w:val="en-US"/>
        </w:rPr>
        <w:t xml:space="preserve"> and over</w:t>
      </w:r>
      <w:r w:rsidR="004C7138">
        <w:rPr>
          <w:rFonts w:ascii="Arial" w:hAnsi="Arial" w:cs="Arial"/>
          <w:sz w:val="22"/>
          <w:szCs w:val="22"/>
          <w:lang w:val="en-US"/>
        </w:rPr>
        <w:t xml:space="preserve">, with </w:t>
      </w:r>
      <w:hyperlink r:id="rId15" w:history="1">
        <w:r w:rsidR="004C7138" w:rsidRPr="00E41AA5">
          <w:rPr>
            <w:rStyle w:val="Hyperlink"/>
            <w:rFonts w:ascii="Arial" w:hAnsi="Arial" w:cs="Arial"/>
            <w:sz w:val="22"/>
            <w:szCs w:val="22"/>
            <w:lang w:val="en-US"/>
          </w:rPr>
          <w:t>r</w:t>
        </w:r>
        <w:r w:rsidR="002F5B4E" w:rsidRPr="00E41AA5">
          <w:rPr>
            <w:rStyle w:val="Hyperlink"/>
            <w:rFonts w:ascii="Arial" w:hAnsi="Arial" w:cs="Arial"/>
            <w:sz w:val="22"/>
            <w:szCs w:val="22"/>
            <w:lang w:val="en-US"/>
          </w:rPr>
          <w:t>ates for those aged 20 and under</w:t>
        </w:r>
      </w:hyperlink>
      <w:r w:rsidR="002F5B4E">
        <w:rPr>
          <w:rFonts w:ascii="Arial" w:hAnsi="Arial" w:cs="Arial"/>
          <w:sz w:val="22"/>
          <w:szCs w:val="22"/>
          <w:lang w:val="en-US"/>
        </w:rPr>
        <w:t xml:space="preserve"> </w:t>
      </w:r>
      <w:r w:rsidR="001F4E1B">
        <w:rPr>
          <w:rFonts w:ascii="Arial" w:hAnsi="Arial" w:cs="Arial"/>
          <w:sz w:val="22"/>
          <w:szCs w:val="22"/>
          <w:lang w:val="en-US"/>
        </w:rPr>
        <w:t>also increased</w:t>
      </w:r>
      <w:r w:rsidR="00E41AA5">
        <w:rPr>
          <w:rFonts w:ascii="Arial" w:hAnsi="Arial" w:cs="Arial"/>
          <w:sz w:val="22"/>
          <w:szCs w:val="22"/>
          <w:lang w:val="en-US"/>
        </w:rPr>
        <w:t>.</w:t>
      </w:r>
    </w:p>
    <w:p w14:paraId="13179043" w14:textId="77777777" w:rsidR="004C7138" w:rsidRDefault="004C7138" w:rsidP="009E564F">
      <w:pPr>
        <w:rPr>
          <w:rFonts w:ascii="Arial" w:hAnsi="Arial" w:cs="Arial"/>
          <w:sz w:val="22"/>
          <w:szCs w:val="22"/>
          <w:lang w:val="en-US"/>
        </w:rPr>
      </w:pPr>
    </w:p>
    <w:p w14:paraId="75A139D3" w14:textId="1DB5B5CE" w:rsidR="00E41AA5" w:rsidRPr="00C769FB" w:rsidRDefault="00085EE6" w:rsidP="009E564F">
      <w:pPr>
        <w:rPr>
          <w:rFonts w:ascii="Arial" w:hAnsi="Arial" w:cs="Arial"/>
          <w:b/>
          <w:bCs/>
          <w:sz w:val="22"/>
          <w:szCs w:val="22"/>
          <w:lang w:val="en-US"/>
        </w:rPr>
      </w:pPr>
      <w:r w:rsidRPr="00C769FB">
        <w:rPr>
          <w:rFonts w:ascii="Arial" w:hAnsi="Arial" w:cs="Arial"/>
          <w:b/>
          <w:bCs/>
          <w:sz w:val="22"/>
          <w:szCs w:val="22"/>
          <w:lang w:val="en-US"/>
        </w:rPr>
        <w:t>State Pension</w:t>
      </w:r>
    </w:p>
    <w:p w14:paraId="060A9278" w14:textId="1144226C" w:rsidR="00C769FB" w:rsidRDefault="000C11F5" w:rsidP="00C769FB">
      <w:pPr>
        <w:rPr>
          <w:rFonts w:ascii="Arial" w:hAnsi="Arial" w:cs="Arial"/>
          <w:sz w:val="22"/>
          <w:szCs w:val="22"/>
          <w:lang w:val="en-US"/>
        </w:rPr>
      </w:pPr>
      <w:r w:rsidRPr="00C769FB">
        <w:rPr>
          <w:rFonts w:ascii="Arial" w:hAnsi="Arial" w:cs="Arial"/>
          <w:sz w:val="22"/>
          <w:szCs w:val="22"/>
          <w:lang w:val="en-US"/>
        </w:rPr>
        <w:t>Pensioners will get a significant uplift to their state pension for a second consecutive year</w:t>
      </w:r>
      <w:r w:rsidR="00675645">
        <w:rPr>
          <w:rFonts w:ascii="Arial" w:hAnsi="Arial" w:cs="Arial"/>
          <w:sz w:val="22"/>
          <w:szCs w:val="22"/>
          <w:lang w:val="en-US"/>
        </w:rPr>
        <w:t>,</w:t>
      </w:r>
      <w:r w:rsidRPr="00C769FB">
        <w:rPr>
          <w:rFonts w:ascii="Arial" w:hAnsi="Arial" w:cs="Arial"/>
          <w:sz w:val="22"/>
          <w:szCs w:val="22"/>
          <w:lang w:val="en-US"/>
        </w:rPr>
        <w:t xml:space="preserve"> </w:t>
      </w:r>
      <w:r w:rsidR="00C769FB">
        <w:rPr>
          <w:rFonts w:ascii="Arial" w:hAnsi="Arial" w:cs="Arial"/>
          <w:sz w:val="22"/>
          <w:szCs w:val="22"/>
          <w:lang w:val="en-US"/>
        </w:rPr>
        <w:t xml:space="preserve">getting </w:t>
      </w:r>
      <w:r w:rsidR="00C769FB" w:rsidRPr="00C769FB">
        <w:rPr>
          <w:rFonts w:ascii="Arial" w:hAnsi="Arial" w:cs="Arial"/>
          <w:sz w:val="22"/>
          <w:szCs w:val="22"/>
          <w:lang w:val="en-US"/>
        </w:rPr>
        <w:t>an extra £900 a year from April 2024</w:t>
      </w:r>
      <w:r w:rsidR="00675645">
        <w:rPr>
          <w:rFonts w:ascii="Arial" w:hAnsi="Arial" w:cs="Arial"/>
          <w:sz w:val="22"/>
          <w:szCs w:val="22"/>
          <w:lang w:val="en-US"/>
        </w:rPr>
        <w:t xml:space="preserve">. </w:t>
      </w:r>
      <w:r w:rsidR="00C769FB" w:rsidRPr="00C769FB">
        <w:rPr>
          <w:rFonts w:ascii="Arial" w:hAnsi="Arial" w:cs="Arial"/>
          <w:sz w:val="22"/>
          <w:szCs w:val="22"/>
          <w:lang w:val="en-US"/>
        </w:rPr>
        <w:t>The </w:t>
      </w:r>
      <w:hyperlink r:id="rId16" w:tgtFrame="_blank" w:history="1">
        <w:r w:rsidR="00C769FB" w:rsidRPr="00C769FB">
          <w:rPr>
            <w:rFonts w:ascii="Arial" w:hAnsi="Arial" w:cs="Arial"/>
            <w:sz w:val="22"/>
            <w:szCs w:val="22"/>
            <w:lang w:val="en-US"/>
          </w:rPr>
          <w:t>state pension</w:t>
        </w:r>
      </w:hyperlink>
      <w:r w:rsidR="00C769FB" w:rsidRPr="00C769FB">
        <w:rPr>
          <w:rFonts w:ascii="Arial" w:hAnsi="Arial" w:cs="Arial"/>
          <w:sz w:val="22"/>
          <w:szCs w:val="22"/>
          <w:lang w:val="en-US"/>
        </w:rPr>
        <w:t> </w:t>
      </w:r>
      <w:r w:rsidR="00675645">
        <w:rPr>
          <w:rFonts w:ascii="Arial" w:hAnsi="Arial" w:cs="Arial"/>
          <w:sz w:val="22"/>
          <w:szCs w:val="22"/>
          <w:lang w:val="en-US"/>
        </w:rPr>
        <w:t xml:space="preserve">will </w:t>
      </w:r>
      <w:r w:rsidR="00C769FB" w:rsidRPr="00C769FB">
        <w:rPr>
          <w:rFonts w:ascii="Arial" w:hAnsi="Arial" w:cs="Arial"/>
          <w:sz w:val="22"/>
          <w:szCs w:val="22"/>
          <w:lang w:val="en-US"/>
        </w:rPr>
        <w:t>increase by 8.5</w:t>
      </w:r>
      <w:r w:rsidR="00675645">
        <w:rPr>
          <w:rFonts w:ascii="Arial" w:hAnsi="Arial" w:cs="Arial"/>
          <w:sz w:val="22"/>
          <w:szCs w:val="22"/>
          <w:lang w:val="en-US"/>
        </w:rPr>
        <w:t>%</w:t>
      </w:r>
      <w:r w:rsidR="00C769FB" w:rsidRPr="00C769FB">
        <w:rPr>
          <w:rFonts w:ascii="Arial" w:hAnsi="Arial" w:cs="Arial"/>
          <w:sz w:val="22"/>
          <w:szCs w:val="22"/>
          <w:lang w:val="en-US"/>
        </w:rPr>
        <w:t>.</w:t>
      </w:r>
    </w:p>
    <w:p w14:paraId="764C94FD" w14:textId="77777777" w:rsidR="0056318B" w:rsidRPr="00C769FB" w:rsidRDefault="0056318B" w:rsidP="00C769FB">
      <w:pPr>
        <w:rPr>
          <w:rFonts w:ascii="Arial" w:hAnsi="Arial" w:cs="Arial"/>
          <w:sz w:val="22"/>
          <w:szCs w:val="22"/>
          <w:lang w:val="en-US"/>
        </w:rPr>
      </w:pPr>
    </w:p>
    <w:p w14:paraId="22530BF6" w14:textId="5C201C13" w:rsidR="00C769FB" w:rsidRPr="00C769FB" w:rsidRDefault="0056318B" w:rsidP="00C769FB">
      <w:pPr>
        <w:rPr>
          <w:rFonts w:ascii="Arial" w:hAnsi="Arial" w:cs="Arial"/>
          <w:sz w:val="22"/>
          <w:szCs w:val="22"/>
          <w:lang w:val="en-US"/>
        </w:rPr>
      </w:pPr>
      <w:r>
        <w:rPr>
          <w:rFonts w:ascii="Arial" w:hAnsi="Arial" w:cs="Arial"/>
          <w:sz w:val="22"/>
          <w:szCs w:val="22"/>
          <w:lang w:val="en-US"/>
        </w:rPr>
        <w:t xml:space="preserve">This </w:t>
      </w:r>
      <w:r w:rsidR="00C769FB" w:rsidRPr="00C769FB">
        <w:rPr>
          <w:rFonts w:ascii="Arial" w:hAnsi="Arial" w:cs="Arial"/>
          <w:sz w:val="22"/>
          <w:szCs w:val="22"/>
          <w:lang w:val="en-US"/>
        </w:rPr>
        <w:t>mean</w:t>
      </w:r>
      <w:r>
        <w:rPr>
          <w:rFonts w:ascii="Arial" w:hAnsi="Arial" w:cs="Arial"/>
          <w:sz w:val="22"/>
          <w:szCs w:val="22"/>
          <w:lang w:val="en-US"/>
        </w:rPr>
        <w:t>s</w:t>
      </w:r>
      <w:r w:rsidR="00C769FB" w:rsidRPr="00C769FB">
        <w:rPr>
          <w:rFonts w:ascii="Arial" w:hAnsi="Arial" w:cs="Arial"/>
          <w:sz w:val="22"/>
          <w:szCs w:val="22"/>
          <w:lang w:val="en-US"/>
        </w:rPr>
        <w:t xml:space="preserve"> the full new state pension </w:t>
      </w:r>
      <w:r>
        <w:rPr>
          <w:rFonts w:ascii="Arial" w:hAnsi="Arial" w:cs="Arial"/>
          <w:sz w:val="22"/>
          <w:szCs w:val="22"/>
          <w:lang w:val="en-US"/>
        </w:rPr>
        <w:t xml:space="preserve">will </w:t>
      </w:r>
      <w:r w:rsidR="00C769FB" w:rsidRPr="00C769FB">
        <w:rPr>
          <w:rFonts w:ascii="Arial" w:hAnsi="Arial" w:cs="Arial"/>
          <w:sz w:val="22"/>
          <w:szCs w:val="22"/>
          <w:lang w:val="en-US"/>
        </w:rPr>
        <w:t xml:space="preserve">increase </w:t>
      </w:r>
      <w:r>
        <w:rPr>
          <w:rFonts w:ascii="Arial" w:hAnsi="Arial" w:cs="Arial"/>
          <w:sz w:val="22"/>
          <w:szCs w:val="22"/>
          <w:lang w:val="en-US"/>
        </w:rPr>
        <w:t>from</w:t>
      </w:r>
      <w:r w:rsidR="00C769FB" w:rsidRPr="00C769FB">
        <w:rPr>
          <w:rFonts w:ascii="Arial" w:hAnsi="Arial" w:cs="Arial"/>
          <w:sz w:val="22"/>
          <w:szCs w:val="22"/>
          <w:lang w:val="en-US"/>
        </w:rPr>
        <w:t xml:space="preserve"> £203.85 per week to £221.20, or £11,502.40 per year.</w:t>
      </w:r>
    </w:p>
    <w:p w14:paraId="71AFC554" w14:textId="77777777" w:rsidR="0056318B" w:rsidRDefault="0056318B" w:rsidP="00C769FB">
      <w:pPr>
        <w:rPr>
          <w:rFonts w:ascii="Arial" w:hAnsi="Arial" w:cs="Arial"/>
          <w:sz w:val="22"/>
          <w:szCs w:val="22"/>
          <w:lang w:val="en-US"/>
        </w:rPr>
      </w:pPr>
    </w:p>
    <w:p w14:paraId="66FE989C" w14:textId="1E2AF96E" w:rsidR="00C769FB" w:rsidRPr="00C769FB" w:rsidRDefault="00C769FB" w:rsidP="00C769FB">
      <w:pPr>
        <w:rPr>
          <w:rFonts w:ascii="Arial" w:hAnsi="Arial" w:cs="Arial"/>
          <w:sz w:val="22"/>
          <w:szCs w:val="22"/>
          <w:lang w:val="en-US"/>
        </w:rPr>
      </w:pPr>
      <w:r w:rsidRPr="00C769FB">
        <w:rPr>
          <w:rFonts w:ascii="Arial" w:hAnsi="Arial" w:cs="Arial"/>
          <w:sz w:val="22"/>
          <w:szCs w:val="22"/>
          <w:lang w:val="en-US"/>
        </w:rPr>
        <w:t xml:space="preserve">The full basic state pension </w:t>
      </w:r>
      <w:r w:rsidR="0056318B">
        <w:rPr>
          <w:rFonts w:ascii="Arial" w:hAnsi="Arial" w:cs="Arial"/>
          <w:sz w:val="22"/>
          <w:szCs w:val="22"/>
          <w:lang w:val="en-US"/>
        </w:rPr>
        <w:t>will</w:t>
      </w:r>
      <w:r w:rsidRPr="00C769FB">
        <w:rPr>
          <w:rFonts w:ascii="Arial" w:hAnsi="Arial" w:cs="Arial"/>
          <w:sz w:val="22"/>
          <w:szCs w:val="22"/>
          <w:lang w:val="en-US"/>
        </w:rPr>
        <w:t xml:space="preserve"> rise from £156.20 per week to £169.50 per week - equating to a total of £8,814 per year.</w:t>
      </w:r>
    </w:p>
    <w:p w14:paraId="5F7B91A0" w14:textId="77777777" w:rsidR="00C769FB" w:rsidRDefault="00C769FB" w:rsidP="009E564F">
      <w:pPr>
        <w:rPr>
          <w:rFonts w:ascii="Arial" w:hAnsi="Arial" w:cs="Arial"/>
          <w:sz w:val="22"/>
          <w:szCs w:val="22"/>
          <w:lang w:val="en-US"/>
        </w:rPr>
      </w:pPr>
    </w:p>
    <w:p w14:paraId="5A4C3A5D" w14:textId="77777777" w:rsidR="00C22A44" w:rsidRDefault="00C22A44" w:rsidP="00C22A44">
      <w:pPr>
        <w:rPr>
          <w:rFonts w:ascii="Arial" w:hAnsi="Arial" w:cs="Arial"/>
          <w:b/>
          <w:sz w:val="22"/>
          <w:szCs w:val="22"/>
        </w:rPr>
      </w:pPr>
      <w:r w:rsidRPr="00E4606F">
        <w:rPr>
          <w:rFonts w:ascii="Arial" w:hAnsi="Arial" w:cs="Arial"/>
          <w:b/>
          <w:sz w:val="22"/>
          <w:szCs w:val="22"/>
        </w:rPr>
        <w:t>Pension</w:t>
      </w:r>
      <w:r>
        <w:rPr>
          <w:rFonts w:ascii="Arial" w:hAnsi="Arial" w:cs="Arial"/>
          <w:b/>
          <w:sz w:val="22"/>
          <w:szCs w:val="22"/>
        </w:rPr>
        <w:t>s reform</w:t>
      </w:r>
    </w:p>
    <w:p w14:paraId="3967E73D" w14:textId="00E3A7FE" w:rsidR="00C22A44" w:rsidRPr="00C627C4" w:rsidRDefault="00C22A44" w:rsidP="00C22A44">
      <w:pPr>
        <w:rPr>
          <w:rFonts w:ascii="Arial" w:hAnsi="Arial" w:cs="Arial"/>
          <w:bCs/>
          <w:sz w:val="22"/>
          <w:szCs w:val="22"/>
        </w:rPr>
      </w:pPr>
      <w:r w:rsidRPr="00C627C4">
        <w:rPr>
          <w:rFonts w:ascii="Arial" w:hAnsi="Arial" w:cs="Arial"/>
          <w:bCs/>
          <w:sz w:val="22"/>
          <w:szCs w:val="22"/>
        </w:rPr>
        <w:t>As previously announced, the lifetime pension allowance charge was removed from April 2023 and the allowance is abolished entirely from April 2024. The pension annual allowance increased from £40,000 to £60,000 from April 2023. Money purchase annual allowance increased from £4,000 to £10,000, which applies if you have already started drawing a pension.</w:t>
      </w:r>
    </w:p>
    <w:p w14:paraId="621EE6C0" w14:textId="77777777" w:rsidR="00C22A44" w:rsidRPr="00C627C4" w:rsidRDefault="00C22A44" w:rsidP="00C22A44">
      <w:pPr>
        <w:rPr>
          <w:rFonts w:ascii="Arial" w:hAnsi="Arial" w:cs="Arial"/>
          <w:bCs/>
          <w:sz w:val="22"/>
          <w:szCs w:val="22"/>
        </w:rPr>
      </w:pPr>
    </w:p>
    <w:p w14:paraId="56873A8D" w14:textId="2F117848" w:rsidR="00C22A44" w:rsidRDefault="00C22A44" w:rsidP="00C22A44">
      <w:pPr>
        <w:rPr>
          <w:rFonts w:ascii="Arial" w:hAnsi="Arial" w:cs="Arial"/>
          <w:sz w:val="22"/>
          <w:szCs w:val="22"/>
        </w:rPr>
      </w:pPr>
      <w:r w:rsidRPr="00C627C4">
        <w:rPr>
          <w:rFonts w:ascii="Arial" w:hAnsi="Arial" w:cs="Arial"/>
          <w:sz w:val="22"/>
          <w:szCs w:val="22"/>
        </w:rPr>
        <w:t>While heralded as a simplification measure by the Chancellor, practitioners advising clients would wish to note that Labour has opposed the policy and stated that the allowance would be restored if Labour forms the next government.</w:t>
      </w:r>
    </w:p>
    <w:p w14:paraId="1CDE1528" w14:textId="77777777" w:rsidR="00C22A44" w:rsidRDefault="00C22A44" w:rsidP="00C22A44">
      <w:pPr>
        <w:rPr>
          <w:rFonts w:ascii="Arial" w:hAnsi="Arial" w:cs="Arial"/>
          <w:sz w:val="22"/>
          <w:szCs w:val="22"/>
        </w:rPr>
      </w:pPr>
    </w:p>
    <w:p w14:paraId="0EDE6285" w14:textId="38B06456" w:rsidR="00C22A44" w:rsidRDefault="000E277C" w:rsidP="00C22A44">
      <w:pPr>
        <w:rPr>
          <w:rFonts w:ascii="Arial" w:hAnsi="Arial" w:cs="Arial"/>
          <w:sz w:val="22"/>
          <w:szCs w:val="22"/>
        </w:rPr>
      </w:pPr>
      <w:r>
        <w:rPr>
          <w:rFonts w:ascii="Arial" w:hAnsi="Arial" w:cs="Arial"/>
          <w:sz w:val="22"/>
          <w:szCs w:val="22"/>
        </w:rPr>
        <w:t>In new announcements, t</w:t>
      </w:r>
      <w:r w:rsidR="00C22A44" w:rsidRPr="00C627C4">
        <w:rPr>
          <w:rFonts w:ascii="Arial" w:hAnsi="Arial" w:cs="Arial"/>
          <w:sz w:val="22"/>
          <w:szCs w:val="22"/>
        </w:rPr>
        <w:t xml:space="preserve">he government </w:t>
      </w:r>
      <w:r>
        <w:rPr>
          <w:rFonts w:ascii="Arial" w:hAnsi="Arial" w:cs="Arial"/>
          <w:sz w:val="22"/>
          <w:szCs w:val="22"/>
        </w:rPr>
        <w:t xml:space="preserve">said it </w:t>
      </w:r>
      <w:r w:rsidR="00C22A44" w:rsidRPr="00C627C4">
        <w:rPr>
          <w:rFonts w:ascii="Arial" w:hAnsi="Arial" w:cs="Arial"/>
          <w:sz w:val="22"/>
          <w:szCs w:val="22"/>
        </w:rPr>
        <w:t xml:space="preserve">will tackle the long-standing problem of “small pot” pensions and </w:t>
      </w:r>
      <w:r>
        <w:rPr>
          <w:rFonts w:ascii="Arial" w:hAnsi="Arial" w:cs="Arial"/>
          <w:sz w:val="22"/>
          <w:szCs w:val="22"/>
        </w:rPr>
        <w:t xml:space="preserve">will </w:t>
      </w:r>
      <w:r w:rsidR="00C22A44" w:rsidRPr="00C627C4">
        <w:rPr>
          <w:rFonts w:ascii="Arial" w:hAnsi="Arial" w:cs="Arial"/>
          <w:sz w:val="22"/>
          <w:szCs w:val="22"/>
        </w:rPr>
        <w:t>launch</w:t>
      </w:r>
      <w:r>
        <w:rPr>
          <w:rFonts w:ascii="Arial" w:hAnsi="Arial" w:cs="Arial"/>
          <w:sz w:val="22"/>
          <w:szCs w:val="22"/>
        </w:rPr>
        <w:t xml:space="preserve"> </w:t>
      </w:r>
      <w:r w:rsidR="00C22A44" w:rsidRPr="00C627C4">
        <w:rPr>
          <w:rFonts w:ascii="Arial" w:hAnsi="Arial" w:cs="Arial"/>
          <w:sz w:val="22"/>
          <w:szCs w:val="22"/>
        </w:rPr>
        <w:t>a call for evidence on a lifetime provider model which would allow individuals to have contributions paid into their existing pension scheme when they change employ</w:t>
      </w:r>
      <w:r w:rsidR="0042713A">
        <w:rPr>
          <w:rFonts w:ascii="Arial" w:hAnsi="Arial" w:cs="Arial"/>
          <w:sz w:val="22"/>
          <w:szCs w:val="22"/>
        </w:rPr>
        <w:t>ment</w:t>
      </w:r>
      <w:r w:rsidR="00C22A44" w:rsidRPr="00C627C4">
        <w:rPr>
          <w:rFonts w:ascii="Arial" w:hAnsi="Arial" w:cs="Arial"/>
          <w:sz w:val="22"/>
          <w:szCs w:val="22"/>
        </w:rPr>
        <w:t>, providing greater agency and control over their pension.</w:t>
      </w:r>
      <w:r w:rsidR="00C22A44">
        <w:rPr>
          <w:rFonts w:ascii="Arial" w:hAnsi="Arial" w:cs="Arial"/>
          <w:sz w:val="22"/>
          <w:szCs w:val="22"/>
        </w:rPr>
        <w:t xml:space="preserve"> Whilst a simplification measure for individuals, this may present an administrative challenge to small businesses.</w:t>
      </w:r>
    </w:p>
    <w:p w14:paraId="5AC63C79" w14:textId="708457CD" w:rsidR="00050D76" w:rsidRPr="00050D76" w:rsidRDefault="002A1B4C" w:rsidP="009E564F">
      <w:pPr>
        <w:rPr>
          <w:rFonts w:ascii="Arial" w:hAnsi="Arial" w:cs="Arial"/>
          <w:b/>
          <w:bCs/>
          <w:sz w:val="22"/>
          <w:szCs w:val="22"/>
          <w:lang w:val="en-US"/>
        </w:rPr>
      </w:pPr>
      <w:r w:rsidRPr="00050D76">
        <w:rPr>
          <w:rFonts w:ascii="Arial" w:hAnsi="Arial" w:cs="Arial"/>
          <w:b/>
          <w:bCs/>
          <w:sz w:val="22"/>
          <w:szCs w:val="22"/>
          <w:lang w:val="en-US"/>
        </w:rPr>
        <w:lastRenderedPageBreak/>
        <w:t>Enterprise Investment Scheme (EIS) and Venture Capital Trust (VCT) extension</w:t>
      </w:r>
    </w:p>
    <w:p w14:paraId="18F885A4" w14:textId="4F4FA19D" w:rsidR="002A1B4C" w:rsidRPr="00050D76" w:rsidRDefault="002A1B4C" w:rsidP="009E564F">
      <w:pPr>
        <w:rPr>
          <w:rFonts w:ascii="Arial" w:hAnsi="Arial" w:cs="Arial"/>
          <w:sz w:val="22"/>
          <w:szCs w:val="22"/>
          <w:lang w:val="en-US"/>
        </w:rPr>
      </w:pPr>
      <w:r w:rsidRPr="00050D76">
        <w:rPr>
          <w:rFonts w:ascii="Arial" w:hAnsi="Arial" w:cs="Arial"/>
          <w:sz w:val="22"/>
          <w:szCs w:val="22"/>
          <w:lang w:val="en-US"/>
        </w:rPr>
        <w:t>The government will legislate in the Autumn Finance Bill 2023 to extend the existing sunset clauses for the EIS and VCT from 6 April 2025 to 6 April 2035.</w:t>
      </w:r>
    </w:p>
    <w:p w14:paraId="3EBDBEF4" w14:textId="77777777" w:rsidR="008B0481" w:rsidRPr="00050D76" w:rsidRDefault="008B0481" w:rsidP="008B0481">
      <w:pPr>
        <w:rPr>
          <w:rFonts w:ascii="Arial" w:hAnsi="Arial" w:cs="Arial"/>
          <w:sz w:val="22"/>
          <w:szCs w:val="22"/>
          <w:lang w:val="en-US"/>
        </w:rPr>
      </w:pPr>
    </w:p>
    <w:p w14:paraId="2989F565" w14:textId="0B9DC5E6" w:rsidR="00EC6C30" w:rsidRPr="00EC6C30" w:rsidRDefault="005E5F9C" w:rsidP="008B0481">
      <w:pPr>
        <w:rPr>
          <w:rFonts w:ascii="Arial" w:hAnsi="Arial" w:cs="Arial"/>
          <w:b/>
          <w:bCs/>
          <w:color w:val="0B0C0C"/>
          <w:sz w:val="22"/>
          <w:szCs w:val="22"/>
          <w:lang w:eastAsia="en-GB"/>
        </w:rPr>
      </w:pPr>
      <w:r>
        <w:rPr>
          <w:rFonts w:ascii="Arial" w:hAnsi="Arial" w:cs="Arial"/>
          <w:b/>
          <w:bCs/>
          <w:color w:val="0B0C0C"/>
          <w:sz w:val="22"/>
          <w:szCs w:val="22"/>
          <w:lang w:eastAsia="en-GB"/>
        </w:rPr>
        <w:t>G</w:t>
      </w:r>
      <w:r w:rsidR="00EC6C30" w:rsidRPr="00EC6C30">
        <w:rPr>
          <w:rFonts w:ascii="Arial" w:hAnsi="Arial" w:cs="Arial"/>
          <w:b/>
          <w:bCs/>
          <w:color w:val="0B0C0C"/>
          <w:sz w:val="22"/>
          <w:szCs w:val="22"/>
          <w:lang w:eastAsia="en-GB"/>
        </w:rPr>
        <w:t>eographical scope of agricultural property relief and woodlands relief from inheritance tax</w:t>
      </w:r>
    </w:p>
    <w:p w14:paraId="2C97F703" w14:textId="421DC0D6" w:rsidR="00EC6C30" w:rsidRPr="00FA7D5D" w:rsidRDefault="00FA7D5D" w:rsidP="00EC6C30">
      <w:pPr>
        <w:shd w:val="clear" w:color="auto" w:fill="FFFFFF"/>
        <w:spacing w:before="75" w:after="300"/>
        <w:rPr>
          <w:rFonts w:ascii="Arial" w:hAnsi="Arial" w:cs="Arial"/>
          <w:color w:val="0B0C0C"/>
          <w:sz w:val="22"/>
          <w:szCs w:val="22"/>
          <w:lang w:eastAsia="en-GB"/>
        </w:rPr>
      </w:pPr>
      <w:r>
        <w:rPr>
          <w:rFonts w:ascii="Arial" w:hAnsi="Arial" w:cs="Arial"/>
          <w:color w:val="0B0C0C"/>
          <w:sz w:val="22"/>
          <w:szCs w:val="22"/>
          <w:lang w:eastAsia="en-GB"/>
        </w:rPr>
        <w:t>As previously announced in the Spring Budget, t</w:t>
      </w:r>
      <w:r w:rsidR="00EC6C30" w:rsidRPr="00FA7D5D">
        <w:rPr>
          <w:rFonts w:ascii="Arial" w:hAnsi="Arial" w:cs="Arial"/>
          <w:color w:val="0B0C0C"/>
          <w:sz w:val="22"/>
          <w:szCs w:val="22"/>
          <w:lang w:eastAsia="en-GB"/>
        </w:rPr>
        <w:t>he government introduce</w:t>
      </w:r>
      <w:r w:rsidR="00B11747" w:rsidRPr="00FA7D5D">
        <w:rPr>
          <w:rFonts w:ascii="Arial" w:hAnsi="Arial" w:cs="Arial"/>
          <w:color w:val="0B0C0C"/>
          <w:sz w:val="22"/>
          <w:szCs w:val="22"/>
          <w:lang w:eastAsia="en-GB"/>
        </w:rPr>
        <w:t>d</w:t>
      </w:r>
      <w:r w:rsidR="00EC6C30" w:rsidRPr="00FA7D5D">
        <w:rPr>
          <w:rFonts w:ascii="Arial" w:hAnsi="Arial" w:cs="Arial"/>
          <w:color w:val="0B0C0C"/>
          <w:sz w:val="22"/>
          <w:szCs w:val="22"/>
          <w:lang w:eastAsia="en-GB"/>
        </w:rPr>
        <w:t xml:space="preserve"> legislation in </w:t>
      </w:r>
      <w:r w:rsidR="009029E8" w:rsidRPr="00FA7D5D">
        <w:rPr>
          <w:rFonts w:ascii="Arial" w:hAnsi="Arial" w:cs="Arial"/>
          <w:color w:val="0B0C0C"/>
          <w:sz w:val="22"/>
          <w:szCs w:val="22"/>
          <w:lang w:eastAsia="en-GB"/>
        </w:rPr>
        <w:t xml:space="preserve">the draft </w:t>
      </w:r>
      <w:r w:rsidR="00EC6C30" w:rsidRPr="00FA7D5D">
        <w:rPr>
          <w:rFonts w:ascii="Arial" w:hAnsi="Arial" w:cs="Arial"/>
          <w:color w:val="0B0C0C"/>
          <w:sz w:val="22"/>
          <w:szCs w:val="22"/>
          <w:lang w:eastAsia="en-GB"/>
        </w:rPr>
        <w:t xml:space="preserve">Finance </w:t>
      </w:r>
      <w:r w:rsidR="009029E8" w:rsidRPr="00FA7D5D">
        <w:rPr>
          <w:rFonts w:ascii="Arial" w:hAnsi="Arial" w:cs="Arial"/>
          <w:color w:val="0B0C0C"/>
          <w:sz w:val="22"/>
          <w:szCs w:val="22"/>
          <w:lang w:eastAsia="en-GB"/>
        </w:rPr>
        <w:t xml:space="preserve">Bill </w:t>
      </w:r>
      <w:r w:rsidR="00EC6C30" w:rsidRPr="00FA7D5D">
        <w:rPr>
          <w:rFonts w:ascii="Arial" w:hAnsi="Arial" w:cs="Arial"/>
          <w:color w:val="0B0C0C"/>
          <w:sz w:val="22"/>
          <w:szCs w:val="22"/>
          <w:lang w:eastAsia="en-GB"/>
        </w:rPr>
        <w:t>2023</w:t>
      </w:r>
      <w:r w:rsidR="009029E8" w:rsidRPr="00FA7D5D">
        <w:rPr>
          <w:rFonts w:ascii="Arial" w:hAnsi="Arial" w:cs="Arial"/>
          <w:color w:val="0B0C0C"/>
          <w:sz w:val="22"/>
          <w:szCs w:val="22"/>
          <w:lang w:eastAsia="en-GB"/>
        </w:rPr>
        <w:t>-24</w:t>
      </w:r>
      <w:r w:rsidR="00B11747" w:rsidRPr="00FA7D5D">
        <w:rPr>
          <w:rFonts w:ascii="Arial" w:hAnsi="Arial" w:cs="Arial"/>
          <w:color w:val="0B0C0C"/>
          <w:sz w:val="22"/>
          <w:szCs w:val="22"/>
          <w:lang w:eastAsia="en-GB"/>
        </w:rPr>
        <w:t xml:space="preserve"> </w:t>
      </w:r>
      <w:r w:rsidR="00EC6C30" w:rsidRPr="00FA7D5D">
        <w:rPr>
          <w:rFonts w:ascii="Arial" w:hAnsi="Arial" w:cs="Arial"/>
          <w:color w:val="0B0C0C"/>
          <w:sz w:val="22"/>
          <w:szCs w:val="22"/>
          <w:lang w:eastAsia="en-GB"/>
        </w:rPr>
        <w:t xml:space="preserve">to restrict the scope of agricultural property relief and woodlands relief to property in the UK. </w:t>
      </w:r>
    </w:p>
    <w:p w14:paraId="5CEC0754" w14:textId="77777777" w:rsidR="00EC6C30" w:rsidRPr="00EC6C30" w:rsidRDefault="00EC6C30" w:rsidP="00EC6C30">
      <w:pPr>
        <w:shd w:val="clear" w:color="auto" w:fill="FFFFFF"/>
        <w:spacing w:before="75" w:after="300"/>
        <w:rPr>
          <w:rFonts w:ascii="Arial" w:hAnsi="Arial" w:cs="Arial"/>
          <w:color w:val="0B0C0C"/>
          <w:sz w:val="22"/>
          <w:szCs w:val="22"/>
          <w:lang w:eastAsia="en-GB"/>
        </w:rPr>
      </w:pPr>
      <w:r w:rsidRPr="00FA7D5D">
        <w:rPr>
          <w:rFonts w:ascii="Arial" w:hAnsi="Arial" w:cs="Arial"/>
          <w:color w:val="0B0C0C"/>
          <w:sz w:val="22"/>
          <w:szCs w:val="22"/>
          <w:lang w:eastAsia="en-GB"/>
        </w:rPr>
        <w:t>Property located in the European Economic Area (EEA), the Channel Islands and the Isle of Man will be treated the same as other property located outside the UK. The changes will take effect from 6 April 2024.</w:t>
      </w:r>
    </w:p>
    <w:p w14:paraId="6FB00F4F" w14:textId="3DB8A335" w:rsidR="00C923A4" w:rsidRPr="00A21A48" w:rsidRDefault="00284D9C" w:rsidP="003762D6">
      <w:pPr>
        <w:rPr>
          <w:rFonts w:ascii="Arial" w:hAnsi="Arial" w:cs="Arial"/>
          <w:b/>
          <w:bCs/>
          <w:sz w:val="22"/>
          <w:szCs w:val="22"/>
        </w:rPr>
      </w:pPr>
      <w:r w:rsidRPr="00A21A48">
        <w:rPr>
          <w:rFonts w:ascii="Arial" w:hAnsi="Arial" w:cs="Arial"/>
          <w:b/>
          <w:bCs/>
          <w:sz w:val="22"/>
          <w:szCs w:val="22"/>
        </w:rPr>
        <w:t xml:space="preserve">Help with </w:t>
      </w:r>
      <w:proofErr w:type="gramStart"/>
      <w:r w:rsidRPr="00A21A48">
        <w:rPr>
          <w:rFonts w:ascii="Arial" w:hAnsi="Arial" w:cs="Arial"/>
          <w:b/>
          <w:bCs/>
          <w:sz w:val="22"/>
          <w:szCs w:val="22"/>
        </w:rPr>
        <w:t>childcare</w:t>
      </w:r>
      <w:proofErr w:type="gramEnd"/>
    </w:p>
    <w:p w14:paraId="699F34F1" w14:textId="35BDE27A" w:rsidR="00284D9C" w:rsidRDefault="00284D9C" w:rsidP="003762D6">
      <w:pPr>
        <w:rPr>
          <w:rFonts w:ascii="Arial" w:hAnsi="Arial" w:cs="Arial"/>
          <w:sz w:val="22"/>
          <w:szCs w:val="22"/>
        </w:rPr>
      </w:pPr>
      <w:r w:rsidRPr="00D57E1C">
        <w:rPr>
          <w:rFonts w:ascii="Arial" w:hAnsi="Arial" w:cs="Arial"/>
          <w:sz w:val="22"/>
          <w:szCs w:val="22"/>
        </w:rPr>
        <w:t xml:space="preserve">A phased package of support </w:t>
      </w:r>
      <w:r w:rsidR="00A6004A" w:rsidRPr="00D57E1C">
        <w:rPr>
          <w:rFonts w:ascii="Arial" w:hAnsi="Arial" w:cs="Arial"/>
          <w:sz w:val="22"/>
          <w:szCs w:val="22"/>
        </w:rPr>
        <w:t xml:space="preserve">was previously </w:t>
      </w:r>
      <w:r w:rsidRPr="00D57E1C">
        <w:rPr>
          <w:rFonts w:ascii="Arial" w:hAnsi="Arial" w:cs="Arial"/>
          <w:sz w:val="22"/>
          <w:szCs w:val="22"/>
        </w:rPr>
        <w:t xml:space="preserve">announced </w:t>
      </w:r>
      <w:r w:rsidR="00B0240B" w:rsidRPr="00D57E1C">
        <w:rPr>
          <w:rFonts w:ascii="Arial" w:hAnsi="Arial" w:cs="Arial"/>
          <w:sz w:val="22"/>
          <w:szCs w:val="22"/>
        </w:rPr>
        <w:t xml:space="preserve">for help with childcare costs for accessing 30 hours of </w:t>
      </w:r>
      <w:r w:rsidR="00872125" w:rsidRPr="00D57E1C">
        <w:rPr>
          <w:rFonts w:ascii="Arial" w:hAnsi="Arial" w:cs="Arial"/>
          <w:sz w:val="22"/>
          <w:szCs w:val="22"/>
        </w:rPr>
        <w:t>childcare</w:t>
      </w:r>
      <w:r w:rsidR="00B0240B" w:rsidRPr="00D57E1C">
        <w:rPr>
          <w:rFonts w:ascii="Arial" w:hAnsi="Arial" w:cs="Arial"/>
          <w:sz w:val="22"/>
          <w:szCs w:val="22"/>
        </w:rPr>
        <w:t xml:space="preserve"> </w:t>
      </w:r>
      <w:r w:rsidR="00872125" w:rsidRPr="00D57E1C">
        <w:rPr>
          <w:rFonts w:ascii="Arial" w:hAnsi="Arial" w:cs="Arial"/>
          <w:sz w:val="22"/>
          <w:szCs w:val="22"/>
        </w:rPr>
        <w:t xml:space="preserve">for children over </w:t>
      </w:r>
      <w:r w:rsidR="007C7D6F" w:rsidRPr="00D57E1C">
        <w:rPr>
          <w:rFonts w:ascii="Arial" w:hAnsi="Arial" w:cs="Arial"/>
          <w:sz w:val="22"/>
          <w:szCs w:val="22"/>
        </w:rPr>
        <w:t>nine</w:t>
      </w:r>
      <w:r w:rsidR="00872125" w:rsidRPr="00D57E1C">
        <w:rPr>
          <w:rFonts w:ascii="Arial" w:hAnsi="Arial" w:cs="Arial"/>
          <w:sz w:val="22"/>
          <w:szCs w:val="22"/>
        </w:rPr>
        <w:t xml:space="preserve"> months old.</w:t>
      </w:r>
      <w:r w:rsidR="004F1477" w:rsidRPr="00D57E1C">
        <w:rPr>
          <w:rFonts w:ascii="Arial" w:hAnsi="Arial" w:cs="Arial"/>
          <w:sz w:val="22"/>
          <w:szCs w:val="22"/>
        </w:rPr>
        <w:t xml:space="preserve"> The free childcare will be available for 38 weeks of the year.</w:t>
      </w:r>
    </w:p>
    <w:p w14:paraId="3A3A29D6" w14:textId="31D80274" w:rsidR="00A6004A" w:rsidRPr="00A6004A" w:rsidRDefault="00A6004A" w:rsidP="00A6004A">
      <w:pPr>
        <w:pStyle w:val="NormalWeb"/>
        <w:shd w:val="clear" w:color="auto" w:fill="FFFFFF"/>
        <w:rPr>
          <w:rFonts w:ascii="Arial" w:hAnsi="Arial" w:cs="Arial"/>
          <w:sz w:val="22"/>
          <w:szCs w:val="22"/>
          <w:lang w:eastAsia="en-US"/>
        </w:rPr>
      </w:pPr>
      <w:r w:rsidRPr="00A6004A">
        <w:rPr>
          <w:rFonts w:ascii="Arial" w:hAnsi="Arial" w:cs="Arial"/>
          <w:sz w:val="22"/>
          <w:szCs w:val="22"/>
          <w:lang w:eastAsia="en-US"/>
        </w:rPr>
        <w:t>Eligible working parents of three- and four-year-olds already get 30 hours a week of free childcare. The increased offer will be rolled out in stages to allow childcare providers time to be able to implement the changes, making sure the places that are needed are available across the country when the offers are introduced. </w:t>
      </w:r>
    </w:p>
    <w:p w14:paraId="6463CB7C" w14:textId="77777777" w:rsidR="00A6004A" w:rsidRPr="00A6004A" w:rsidRDefault="00A6004A" w:rsidP="00AD6A8C">
      <w:pPr>
        <w:pStyle w:val="NormalWeb"/>
        <w:numPr>
          <w:ilvl w:val="0"/>
          <w:numId w:val="2"/>
        </w:numPr>
        <w:shd w:val="clear" w:color="auto" w:fill="FFFFFF"/>
        <w:rPr>
          <w:rFonts w:ascii="Arial" w:hAnsi="Arial" w:cs="Arial"/>
          <w:sz w:val="22"/>
          <w:szCs w:val="22"/>
          <w:lang w:eastAsia="en-US"/>
        </w:rPr>
      </w:pPr>
      <w:r w:rsidRPr="00A6004A">
        <w:rPr>
          <w:rFonts w:ascii="Arial" w:hAnsi="Arial" w:cs="Arial"/>
          <w:sz w:val="22"/>
          <w:szCs w:val="22"/>
          <w:lang w:eastAsia="en-US"/>
        </w:rPr>
        <w:t>From April 2024, working parents of two-year-olds will be able to access 15 hours of free childcare. </w:t>
      </w:r>
    </w:p>
    <w:p w14:paraId="63823E98" w14:textId="77777777" w:rsidR="00A6004A" w:rsidRPr="00A6004A" w:rsidRDefault="00A6004A" w:rsidP="00AD6A8C">
      <w:pPr>
        <w:pStyle w:val="NormalWeb"/>
        <w:numPr>
          <w:ilvl w:val="0"/>
          <w:numId w:val="2"/>
        </w:numPr>
        <w:shd w:val="clear" w:color="auto" w:fill="FFFFFF"/>
        <w:rPr>
          <w:rFonts w:ascii="Arial" w:hAnsi="Arial" w:cs="Arial"/>
          <w:sz w:val="22"/>
          <w:szCs w:val="22"/>
          <w:lang w:eastAsia="en-US"/>
        </w:rPr>
      </w:pPr>
      <w:r w:rsidRPr="00A6004A">
        <w:rPr>
          <w:rFonts w:ascii="Arial" w:hAnsi="Arial" w:cs="Arial"/>
          <w:sz w:val="22"/>
          <w:szCs w:val="22"/>
          <w:lang w:eastAsia="en-US"/>
        </w:rPr>
        <w:t>From September 2024, 15 hours of free childcare will be extended down to the age of nine months for working parents.</w:t>
      </w:r>
    </w:p>
    <w:p w14:paraId="16A8324D" w14:textId="77777777" w:rsidR="00A6004A" w:rsidRPr="00A6004A" w:rsidRDefault="00A6004A" w:rsidP="00AD6A8C">
      <w:pPr>
        <w:pStyle w:val="NormalWeb"/>
        <w:numPr>
          <w:ilvl w:val="0"/>
          <w:numId w:val="2"/>
        </w:numPr>
        <w:shd w:val="clear" w:color="auto" w:fill="FFFFFF"/>
        <w:rPr>
          <w:rFonts w:ascii="Arial" w:hAnsi="Arial" w:cs="Arial"/>
          <w:sz w:val="22"/>
          <w:szCs w:val="22"/>
          <w:lang w:eastAsia="en-US"/>
        </w:rPr>
      </w:pPr>
      <w:r w:rsidRPr="00A6004A">
        <w:rPr>
          <w:rFonts w:ascii="Arial" w:hAnsi="Arial" w:cs="Arial"/>
          <w:sz w:val="22"/>
          <w:szCs w:val="22"/>
          <w:lang w:eastAsia="en-US"/>
        </w:rPr>
        <w:t>From September 2025, working parents of children aged nine months and upwards will be entitled to 30 hours free childcare per week right up to their child starting school. </w:t>
      </w:r>
    </w:p>
    <w:p w14:paraId="4D9E68B9" w14:textId="77777777" w:rsidR="00A6004A" w:rsidRPr="00A6004A" w:rsidRDefault="00A6004A" w:rsidP="00A6004A">
      <w:pPr>
        <w:pStyle w:val="NormalWeb"/>
        <w:shd w:val="clear" w:color="auto" w:fill="FFFFFF"/>
        <w:rPr>
          <w:rFonts w:ascii="Arial" w:hAnsi="Arial" w:cs="Arial"/>
          <w:sz w:val="22"/>
          <w:szCs w:val="22"/>
          <w:lang w:eastAsia="en-US"/>
        </w:rPr>
      </w:pPr>
      <w:r w:rsidRPr="00A6004A">
        <w:rPr>
          <w:rFonts w:ascii="Arial" w:hAnsi="Arial" w:cs="Arial"/>
          <w:sz w:val="22"/>
          <w:szCs w:val="22"/>
          <w:lang w:eastAsia="en-US"/>
        </w:rPr>
        <w:t>Like the existing offer, depending on your provider, these hours can be used over 38 weeks of the year (during school term time), or up to 52 weeks if you use fewer than your total hours per week. </w:t>
      </w:r>
    </w:p>
    <w:p w14:paraId="3CF80A88" w14:textId="77777777" w:rsidR="00F8453F" w:rsidRPr="00014EE4" w:rsidRDefault="00F8453F" w:rsidP="00014EE4">
      <w:pPr>
        <w:rPr>
          <w:rFonts w:ascii="Arial" w:hAnsi="Arial" w:cs="Arial"/>
          <w:b/>
          <w:bCs/>
          <w:sz w:val="22"/>
          <w:szCs w:val="22"/>
        </w:rPr>
      </w:pPr>
      <w:r w:rsidRPr="00014EE4">
        <w:rPr>
          <w:rFonts w:ascii="Arial" w:hAnsi="Arial" w:cs="Arial"/>
          <w:b/>
          <w:bCs/>
          <w:sz w:val="22"/>
          <w:szCs w:val="22"/>
        </w:rPr>
        <w:t>Making Tax Digital</w:t>
      </w:r>
    </w:p>
    <w:p w14:paraId="791C80F6" w14:textId="307DA6ED" w:rsidR="00357C4B" w:rsidRDefault="00357C4B" w:rsidP="009E564F">
      <w:pPr>
        <w:textAlignment w:val="baseline"/>
        <w:rPr>
          <w:rFonts w:ascii="Arial" w:hAnsi="Arial" w:cs="Arial"/>
          <w:color w:val="0B0C0C"/>
          <w:sz w:val="22"/>
          <w:szCs w:val="22"/>
        </w:rPr>
      </w:pPr>
      <w:r w:rsidRPr="00357C4B">
        <w:rPr>
          <w:rFonts w:ascii="Arial" w:hAnsi="Arial" w:cs="Arial"/>
          <w:color w:val="0B0C0C"/>
          <w:sz w:val="22"/>
          <w:szCs w:val="22"/>
        </w:rPr>
        <w:t>Those with annual income over £50,000 will be mandated to join MTD from April 2026, followed by those with income over £30,000 from April 2027</w:t>
      </w:r>
      <w:r w:rsidR="005909CE">
        <w:rPr>
          <w:rFonts w:ascii="Arial" w:hAnsi="Arial" w:cs="Arial"/>
          <w:color w:val="0B0C0C"/>
          <w:sz w:val="22"/>
          <w:szCs w:val="22"/>
        </w:rPr>
        <w:t>.</w:t>
      </w:r>
      <w:r w:rsidRPr="00357C4B">
        <w:rPr>
          <w:rFonts w:ascii="Arial" w:hAnsi="Arial" w:cs="Arial"/>
          <w:color w:val="0B0C0C"/>
          <w:sz w:val="22"/>
          <w:szCs w:val="22"/>
        </w:rPr>
        <w:t xml:space="preserve"> </w:t>
      </w:r>
      <w:r w:rsidR="005909CE">
        <w:rPr>
          <w:rFonts w:ascii="Arial" w:hAnsi="Arial" w:cs="Arial"/>
          <w:color w:val="0B0C0C"/>
          <w:sz w:val="22"/>
          <w:szCs w:val="22"/>
        </w:rPr>
        <w:t>T</w:t>
      </w:r>
      <w:r w:rsidRPr="00357C4B">
        <w:rPr>
          <w:rFonts w:ascii="Arial" w:hAnsi="Arial" w:cs="Arial"/>
          <w:color w:val="0B0C0C"/>
          <w:sz w:val="22"/>
          <w:szCs w:val="22"/>
        </w:rPr>
        <w:t>he government has announced that it will make design changes to the Making Tax Digital for Income Tax Self Assessment (MTD for ITSA) system, simplifying and improving this for taxpayers and their representatives</w:t>
      </w:r>
      <w:r w:rsidR="00173FBE">
        <w:rPr>
          <w:rFonts w:ascii="Arial" w:hAnsi="Arial" w:cs="Arial"/>
          <w:color w:val="0B0C0C"/>
          <w:sz w:val="22"/>
          <w:szCs w:val="22"/>
        </w:rPr>
        <w:t>.</w:t>
      </w:r>
    </w:p>
    <w:p w14:paraId="3B0A3014" w14:textId="77777777" w:rsidR="00446786" w:rsidRDefault="00446786" w:rsidP="009E564F">
      <w:pPr>
        <w:textAlignment w:val="baseline"/>
        <w:rPr>
          <w:rFonts w:ascii="Arial" w:hAnsi="Arial" w:cs="Arial"/>
          <w:color w:val="0B0C0C"/>
          <w:sz w:val="22"/>
          <w:szCs w:val="22"/>
        </w:rPr>
      </w:pPr>
    </w:p>
    <w:p w14:paraId="6CF542F6" w14:textId="2C9610F4" w:rsidR="00446786" w:rsidRPr="00446786" w:rsidRDefault="00446786" w:rsidP="00446786">
      <w:pPr>
        <w:rPr>
          <w:rFonts w:ascii="Arial" w:hAnsi="Arial" w:cs="Arial"/>
          <w:b/>
          <w:bCs/>
          <w:sz w:val="22"/>
          <w:szCs w:val="22"/>
        </w:rPr>
      </w:pPr>
      <w:r w:rsidRPr="00446786">
        <w:rPr>
          <w:rFonts w:ascii="Arial" w:hAnsi="Arial" w:cs="Arial"/>
          <w:b/>
          <w:bCs/>
          <w:sz w:val="22"/>
          <w:szCs w:val="22"/>
        </w:rPr>
        <w:t xml:space="preserve">Reforming requirements to file a Self-Assessment tax </w:t>
      </w:r>
      <w:proofErr w:type="gramStart"/>
      <w:r w:rsidRPr="00446786">
        <w:rPr>
          <w:rFonts w:ascii="Arial" w:hAnsi="Arial" w:cs="Arial"/>
          <w:b/>
          <w:bCs/>
          <w:sz w:val="22"/>
          <w:szCs w:val="22"/>
        </w:rPr>
        <w:t>return</w:t>
      </w:r>
      <w:proofErr w:type="gramEnd"/>
    </w:p>
    <w:p w14:paraId="7A1986BF" w14:textId="63B36A01" w:rsidR="00446786" w:rsidRPr="00014EE4" w:rsidRDefault="00446786" w:rsidP="009E564F">
      <w:pPr>
        <w:textAlignment w:val="baseline"/>
        <w:rPr>
          <w:rFonts w:ascii="Arial" w:hAnsi="Arial" w:cs="Arial"/>
          <w:color w:val="0B0C0C"/>
          <w:sz w:val="22"/>
          <w:szCs w:val="22"/>
        </w:rPr>
      </w:pPr>
      <w:r w:rsidRPr="00446786">
        <w:rPr>
          <w:rFonts w:ascii="Arial" w:hAnsi="Arial" w:cs="Arial"/>
          <w:color w:val="0B0C0C"/>
          <w:sz w:val="22"/>
          <w:szCs w:val="22"/>
        </w:rPr>
        <w:t>The government will no longer require individuals with income taxed only through P</w:t>
      </w:r>
      <w:r>
        <w:rPr>
          <w:rFonts w:ascii="Arial" w:hAnsi="Arial" w:cs="Arial"/>
          <w:color w:val="0B0C0C"/>
          <w:sz w:val="22"/>
          <w:szCs w:val="22"/>
        </w:rPr>
        <w:t>AYE</w:t>
      </w:r>
      <w:r w:rsidRPr="00446786">
        <w:rPr>
          <w:rFonts w:ascii="Arial" w:hAnsi="Arial" w:cs="Arial"/>
          <w:color w:val="0B0C0C"/>
          <w:sz w:val="22"/>
          <w:szCs w:val="22"/>
        </w:rPr>
        <w:t xml:space="preserve"> to file a Self-Assessment return from 2024-25.</w:t>
      </w:r>
    </w:p>
    <w:p w14:paraId="1483F04C" w14:textId="77777777" w:rsidR="00651B8F" w:rsidRDefault="00651B8F" w:rsidP="009E564F">
      <w:pPr>
        <w:textAlignment w:val="baseline"/>
        <w:rPr>
          <w:rFonts w:ascii="Arial" w:hAnsi="Arial" w:cs="Arial"/>
          <w:color w:val="0B0C0C"/>
          <w:sz w:val="22"/>
          <w:szCs w:val="22"/>
        </w:rPr>
      </w:pPr>
    </w:p>
    <w:p w14:paraId="18E45016" w14:textId="77777777" w:rsidR="004F28EF" w:rsidRDefault="004F28EF" w:rsidP="004A51B3">
      <w:pPr>
        <w:textAlignment w:val="baseline"/>
        <w:rPr>
          <w:rFonts w:ascii="Arial" w:hAnsi="Arial" w:cs="Arial"/>
          <w:b/>
          <w:bCs/>
          <w:sz w:val="22"/>
          <w:szCs w:val="22"/>
          <w:lang w:eastAsia="en-GB"/>
        </w:rPr>
      </w:pPr>
    </w:p>
    <w:p w14:paraId="30932852" w14:textId="35CD26AD" w:rsidR="001D075C" w:rsidRDefault="001D075C" w:rsidP="004A51B3">
      <w:pPr>
        <w:textAlignment w:val="baseline"/>
        <w:rPr>
          <w:rFonts w:ascii="Arial" w:hAnsi="Arial" w:cs="Arial"/>
          <w:b/>
          <w:bCs/>
          <w:sz w:val="22"/>
          <w:szCs w:val="22"/>
          <w:lang w:eastAsia="en-GB"/>
        </w:rPr>
      </w:pPr>
      <w:r>
        <w:rPr>
          <w:rFonts w:ascii="Arial" w:hAnsi="Arial" w:cs="Arial"/>
          <w:b/>
          <w:bCs/>
          <w:sz w:val="22"/>
          <w:szCs w:val="22"/>
          <w:lang w:eastAsia="en-GB"/>
        </w:rPr>
        <w:t>OTHER</w:t>
      </w:r>
    </w:p>
    <w:p w14:paraId="4A638103" w14:textId="77777777" w:rsidR="001D075C" w:rsidRDefault="001D075C" w:rsidP="004A51B3">
      <w:pPr>
        <w:textAlignment w:val="baseline"/>
        <w:rPr>
          <w:rFonts w:ascii="Arial" w:hAnsi="Arial" w:cs="Arial"/>
          <w:b/>
          <w:bCs/>
          <w:sz w:val="22"/>
          <w:szCs w:val="22"/>
          <w:lang w:eastAsia="en-GB"/>
        </w:rPr>
      </w:pPr>
    </w:p>
    <w:p w14:paraId="16B7A71C" w14:textId="7A61681D" w:rsidR="00D06F31" w:rsidRPr="00D06F31" w:rsidRDefault="00D06F31" w:rsidP="00D06F31">
      <w:pPr>
        <w:rPr>
          <w:rFonts w:ascii="Arial" w:hAnsi="Arial" w:cs="Arial"/>
          <w:b/>
          <w:bCs/>
          <w:sz w:val="22"/>
          <w:szCs w:val="22"/>
        </w:rPr>
      </w:pPr>
      <w:r w:rsidRPr="00D06F31">
        <w:rPr>
          <w:rFonts w:ascii="Arial" w:hAnsi="Arial" w:cs="Arial"/>
          <w:b/>
          <w:bCs/>
          <w:sz w:val="22"/>
          <w:szCs w:val="22"/>
        </w:rPr>
        <w:t xml:space="preserve">Additional </w:t>
      </w:r>
      <w:r w:rsidR="004F28EF">
        <w:rPr>
          <w:rFonts w:ascii="Arial" w:hAnsi="Arial" w:cs="Arial"/>
          <w:b/>
          <w:bCs/>
          <w:sz w:val="22"/>
          <w:szCs w:val="22"/>
        </w:rPr>
        <w:t>r</w:t>
      </w:r>
      <w:r w:rsidRPr="00D06F31">
        <w:rPr>
          <w:rFonts w:ascii="Arial" w:hAnsi="Arial" w:cs="Arial"/>
          <w:b/>
          <w:bCs/>
          <w:sz w:val="22"/>
          <w:szCs w:val="22"/>
        </w:rPr>
        <w:t>esource</w:t>
      </w:r>
      <w:r w:rsidR="004F28EF">
        <w:rPr>
          <w:rFonts w:ascii="Arial" w:hAnsi="Arial" w:cs="Arial"/>
          <w:b/>
          <w:bCs/>
          <w:sz w:val="22"/>
          <w:szCs w:val="22"/>
        </w:rPr>
        <w:t>s</w:t>
      </w:r>
      <w:r w:rsidRPr="00D06F31">
        <w:rPr>
          <w:rFonts w:ascii="Arial" w:hAnsi="Arial" w:cs="Arial"/>
          <w:b/>
          <w:bCs/>
          <w:sz w:val="22"/>
          <w:szCs w:val="22"/>
        </w:rPr>
        <w:t xml:space="preserve"> for HMRC </w:t>
      </w:r>
    </w:p>
    <w:p w14:paraId="36DB50CD" w14:textId="33E44A6F" w:rsidR="00D06F31" w:rsidRDefault="008A5B2E" w:rsidP="009C5F6B">
      <w:pPr>
        <w:rPr>
          <w:rFonts w:ascii="Arial" w:hAnsi="Arial" w:cs="Arial"/>
          <w:color w:val="0B0C0C"/>
          <w:sz w:val="22"/>
          <w:szCs w:val="22"/>
        </w:rPr>
      </w:pPr>
      <w:r w:rsidRPr="008A5B2E">
        <w:rPr>
          <w:rFonts w:ascii="Arial" w:hAnsi="Arial" w:cs="Arial"/>
          <w:color w:val="0B0C0C"/>
          <w:sz w:val="22"/>
          <w:szCs w:val="22"/>
        </w:rPr>
        <w:t>The government is investing a further £163 million to improve HMRC’s ability to manage tax debts. This will allow HMRC to better distinguish between those who can afford to settle their tax debts, but choose not to, from those who are temporarily unable to pay and need support. HMRC will also expand its debt management capacity to support both individual and business taxpayers out of debt faster and collect debts that are due.</w:t>
      </w:r>
    </w:p>
    <w:p w14:paraId="2A8DC88B" w14:textId="77777777" w:rsidR="00651B8F" w:rsidRDefault="00651B8F" w:rsidP="009C5F6B">
      <w:pPr>
        <w:rPr>
          <w:rFonts w:ascii="Arial" w:hAnsi="Arial" w:cs="Arial"/>
          <w:color w:val="0B0C0C"/>
          <w:sz w:val="22"/>
          <w:szCs w:val="22"/>
        </w:rPr>
      </w:pPr>
    </w:p>
    <w:p w14:paraId="41AB8F5E" w14:textId="4A4203FD" w:rsidR="00651B8F" w:rsidRPr="008A5B2E" w:rsidRDefault="00736A6C" w:rsidP="009C5F6B">
      <w:pPr>
        <w:rPr>
          <w:rFonts w:ascii="Arial" w:hAnsi="Arial" w:cs="Arial"/>
          <w:color w:val="0B0C0C"/>
          <w:sz w:val="22"/>
          <w:szCs w:val="22"/>
        </w:rPr>
      </w:pPr>
      <w:r>
        <w:rPr>
          <w:rFonts w:ascii="Arial" w:hAnsi="Arial" w:cs="Arial"/>
          <w:color w:val="0B0C0C"/>
          <w:sz w:val="22"/>
          <w:szCs w:val="22"/>
        </w:rPr>
        <w:lastRenderedPageBreak/>
        <w:t xml:space="preserve">There were disappointingly no announcements regarding additional funding for HMRC to improve the </w:t>
      </w:r>
      <w:r w:rsidR="0072172A">
        <w:rPr>
          <w:rFonts w:ascii="Arial" w:hAnsi="Arial" w:cs="Arial"/>
          <w:color w:val="0B0C0C"/>
          <w:sz w:val="22"/>
          <w:szCs w:val="22"/>
        </w:rPr>
        <w:t>service levels that have currently dropped to an unacceptable level.</w:t>
      </w:r>
    </w:p>
    <w:p w14:paraId="72D2326E" w14:textId="77777777" w:rsidR="00980DCD" w:rsidRPr="00242A37" w:rsidRDefault="00980DCD" w:rsidP="009C5F6B">
      <w:pPr>
        <w:rPr>
          <w:rFonts w:ascii="Arial" w:hAnsi="Arial" w:cs="Arial"/>
          <w:b/>
          <w:sz w:val="22"/>
          <w:szCs w:val="22"/>
        </w:rPr>
      </w:pPr>
    </w:p>
    <w:p w14:paraId="4B5CB8C0" w14:textId="77777777" w:rsidR="00D677D7" w:rsidRDefault="00D677D7" w:rsidP="009C5F6B">
      <w:pPr>
        <w:rPr>
          <w:rFonts w:ascii="Arial" w:hAnsi="Arial" w:cs="Arial"/>
          <w:b/>
          <w:sz w:val="22"/>
          <w:szCs w:val="22"/>
        </w:rPr>
      </w:pPr>
    </w:p>
    <w:p w14:paraId="4BDA11F5" w14:textId="77777777" w:rsidR="0072172A" w:rsidRDefault="0072172A" w:rsidP="009C5F6B">
      <w:pPr>
        <w:rPr>
          <w:rFonts w:ascii="Arial" w:hAnsi="Arial" w:cs="Arial"/>
          <w:b/>
          <w:sz w:val="22"/>
          <w:szCs w:val="22"/>
        </w:rPr>
      </w:pPr>
    </w:p>
    <w:p w14:paraId="13C5D3F8" w14:textId="77777777" w:rsidR="0072172A" w:rsidRDefault="0072172A" w:rsidP="009C5F6B">
      <w:pPr>
        <w:rPr>
          <w:rFonts w:ascii="Arial" w:hAnsi="Arial" w:cs="Arial"/>
          <w:b/>
          <w:sz w:val="22"/>
          <w:szCs w:val="22"/>
        </w:rPr>
      </w:pPr>
    </w:p>
    <w:p w14:paraId="672138ED" w14:textId="77777777" w:rsidR="0072172A" w:rsidRDefault="0072172A" w:rsidP="009C5F6B">
      <w:pPr>
        <w:rPr>
          <w:rFonts w:ascii="Arial" w:hAnsi="Arial" w:cs="Arial"/>
          <w:b/>
          <w:sz w:val="22"/>
          <w:szCs w:val="22"/>
        </w:rPr>
      </w:pPr>
    </w:p>
    <w:p w14:paraId="7683CA3A" w14:textId="77777777" w:rsidR="0072172A" w:rsidRDefault="0072172A" w:rsidP="009C5F6B">
      <w:pPr>
        <w:rPr>
          <w:rFonts w:ascii="Arial" w:hAnsi="Arial" w:cs="Arial"/>
          <w:b/>
          <w:sz w:val="22"/>
          <w:szCs w:val="22"/>
        </w:rPr>
      </w:pPr>
    </w:p>
    <w:p w14:paraId="3AA378AA" w14:textId="77777777" w:rsidR="0072172A" w:rsidRDefault="0072172A" w:rsidP="009C5F6B">
      <w:pPr>
        <w:rPr>
          <w:rFonts w:ascii="Arial" w:hAnsi="Arial" w:cs="Arial"/>
          <w:b/>
          <w:sz w:val="22"/>
          <w:szCs w:val="22"/>
        </w:rPr>
      </w:pPr>
    </w:p>
    <w:p w14:paraId="68285736" w14:textId="77777777" w:rsidR="0072172A" w:rsidRDefault="0072172A" w:rsidP="009C5F6B">
      <w:pPr>
        <w:rPr>
          <w:rFonts w:ascii="Arial" w:hAnsi="Arial" w:cs="Arial"/>
          <w:b/>
          <w:sz w:val="22"/>
          <w:szCs w:val="22"/>
        </w:rPr>
      </w:pPr>
    </w:p>
    <w:p w14:paraId="0A8BE675" w14:textId="77777777" w:rsidR="0072172A" w:rsidRDefault="0072172A" w:rsidP="009C5F6B">
      <w:pPr>
        <w:rPr>
          <w:rFonts w:ascii="Arial" w:hAnsi="Arial" w:cs="Arial"/>
          <w:b/>
          <w:sz w:val="22"/>
          <w:szCs w:val="22"/>
        </w:rPr>
      </w:pPr>
    </w:p>
    <w:p w14:paraId="1E9ADC94" w14:textId="77777777" w:rsidR="0072172A" w:rsidRDefault="0072172A" w:rsidP="009C5F6B">
      <w:pPr>
        <w:rPr>
          <w:rFonts w:ascii="Arial" w:hAnsi="Arial" w:cs="Arial"/>
          <w:b/>
          <w:sz w:val="22"/>
          <w:szCs w:val="22"/>
        </w:rPr>
      </w:pPr>
    </w:p>
    <w:p w14:paraId="27EAAA01" w14:textId="77777777" w:rsidR="0072172A" w:rsidRDefault="0072172A" w:rsidP="009C5F6B">
      <w:pPr>
        <w:rPr>
          <w:rFonts w:ascii="Arial" w:hAnsi="Arial" w:cs="Arial"/>
          <w:b/>
          <w:sz w:val="22"/>
          <w:szCs w:val="22"/>
        </w:rPr>
      </w:pPr>
    </w:p>
    <w:p w14:paraId="44705189" w14:textId="77777777" w:rsidR="0072172A" w:rsidRPr="00242A37" w:rsidRDefault="0072172A" w:rsidP="009C5F6B">
      <w:pPr>
        <w:rPr>
          <w:rFonts w:ascii="Arial" w:hAnsi="Arial" w:cs="Arial"/>
          <w:b/>
          <w:sz w:val="22"/>
          <w:szCs w:val="22"/>
        </w:rPr>
      </w:pPr>
    </w:p>
    <w:p w14:paraId="7A82B5BF" w14:textId="37DED281" w:rsidR="009C5F6B" w:rsidRPr="00242A37" w:rsidRDefault="00300A2A" w:rsidP="009C5F6B">
      <w:pPr>
        <w:rPr>
          <w:rFonts w:ascii="Arial" w:hAnsi="Arial" w:cs="Arial"/>
          <w:b/>
          <w:sz w:val="22"/>
          <w:szCs w:val="22"/>
        </w:rPr>
      </w:pPr>
      <w:r>
        <w:rPr>
          <w:rFonts w:ascii="Arial" w:hAnsi="Arial" w:cs="Arial"/>
          <w:b/>
          <w:sz w:val="22"/>
          <w:szCs w:val="22"/>
        </w:rPr>
        <w:t>November</w:t>
      </w:r>
      <w:r w:rsidR="008517A6">
        <w:rPr>
          <w:rFonts w:ascii="Arial" w:hAnsi="Arial" w:cs="Arial"/>
          <w:b/>
          <w:sz w:val="22"/>
          <w:szCs w:val="22"/>
        </w:rPr>
        <w:t xml:space="preserve"> 2023</w:t>
      </w:r>
    </w:p>
    <w:p w14:paraId="2AE13E00" w14:textId="77777777" w:rsidR="009C5F6B" w:rsidRPr="00242A37" w:rsidRDefault="009C5F6B" w:rsidP="00FA576A">
      <w:pPr>
        <w:rPr>
          <w:rFonts w:ascii="Arial" w:hAnsi="Arial" w:cs="Arial"/>
          <w:sz w:val="22"/>
          <w:szCs w:val="22"/>
        </w:rPr>
      </w:pPr>
    </w:p>
    <w:p w14:paraId="41779025" w14:textId="77777777" w:rsidR="00DA1DD0" w:rsidRPr="00242A37" w:rsidRDefault="00DA1DD0" w:rsidP="00FA576A">
      <w:pPr>
        <w:rPr>
          <w:rFonts w:ascii="Arial" w:hAnsi="Arial" w:cs="Arial"/>
          <w:b/>
          <w:sz w:val="20"/>
          <w:szCs w:val="20"/>
        </w:rPr>
      </w:pPr>
      <w:r w:rsidRPr="00242A37">
        <w:rPr>
          <w:rFonts w:ascii="Arial" w:hAnsi="Arial" w:cs="Arial"/>
          <w:b/>
          <w:sz w:val="20"/>
          <w:szCs w:val="20"/>
        </w:rPr>
        <w:t>ACCA LEGAL NOTICE</w:t>
      </w:r>
    </w:p>
    <w:p w14:paraId="6B16243E" w14:textId="12DC46AF" w:rsidR="00351B17" w:rsidRPr="00242A37" w:rsidRDefault="00DA1DD0">
      <w:pPr>
        <w:spacing w:before="240"/>
        <w:rPr>
          <w:rFonts w:ascii="Arial" w:hAnsi="Arial" w:cs="Arial"/>
          <w:bCs/>
          <w:iCs/>
          <w:sz w:val="20"/>
          <w:szCs w:val="20"/>
        </w:rPr>
      </w:pPr>
      <w:r w:rsidRPr="00242A37">
        <w:rPr>
          <w:rFonts w:ascii="Arial" w:hAnsi="Arial" w:cs="Arial"/>
          <w:bCs/>
          <w:sz w:val="20"/>
          <w:szCs w:val="20"/>
        </w:rPr>
        <w:t xml:space="preserve">This is a basic guide prepared by </w:t>
      </w:r>
      <w:r w:rsidRPr="00242A37">
        <w:rPr>
          <w:rStyle w:val="Emphasis"/>
          <w:rFonts w:ascii="Arial" w:hAnsi="Arial" w:cs="Arial"/>
          <w:bCs/>
          <w:i w:val="0"/>
          <w:sz w:val="20"/>
          <w:szCs w:val="20"/>
        </w:rPr>
        <w:t>ACCA UK</w:t>
      </w:r>
      <w:r w:rsidRPr="00242A37">
        <w:rPr>
          <w:rFonts w:ascii="Arial" w:hAnsi="Arial" w:cs="Arial"/>
          <w:bCs/>
          <w:iCs/>
          <w:sz w:val="20"/>
          <w:szCs w:val="20"/>
        </w:rPr>
        <w:t xml:space="preserve">'s Technical Advisory Service for members and their clients. It should not be used as a definitive guide since individual circumstances may vary. Specific advice should be obtained, where </w:t>
      </w:r>
      <w:r w:rsidR="00D677D7" w:rsidRPr="00242A37">
        <w:rPr>
          <w:rFonts w:ascii="Arial" w:hAnsi="Arial" w:cs="Arial"/>
          <w:bCs/>
          <w:iCs/>
          <w:sz w:val="20"/>
          <w:szCs w:val="20"/>
        </w:rPr>
        <w:t>n</w:t>
      </w:r>
      <w:r w:rsidRPr="00242A37">
        <w:rPr>
          <w:rFonts w:ascii="Arial" w:hAnsi="Arial" w:cs="Arial"/>
          <w:bCs/>
          <w:iCs/>
          <w:sz w:val="20"/>
          <w:szCs w:val="20"/>
        </w:rPr>
        <w:t>ecessary.</w:t>
      </w:r>
    </w:p>
    <w:sectPr w:rsidR="00351B17" w:rsidRPr="00242A37" w:rsidSect="00742988">
      <w:headerReference w:type="default" r:id="rId17"/>
      <w:footerReference w:type="default" r:id="rId18"/>
      <w:headerReference w:type="first" r:id="rId19"/>
      <w:footerReference w:type="first" r:id="rId20"/>
      <w:pgSz w:w="11907" w:h="16840" w:code="9"/>
      <w:pgMar w:top="1134" w:right="1134" w:bottom="1134" w:left="1134"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10D0" w14:textId="77777777" w:rsidR="004C5EC4" w:rsidRDefault="004C5EC4">
      <w:r>
        <w:separator/>
      </w:r>
    </w:p>
  </w:endnote>
  <w:endnote w:type="continuationSeparator" w:id="0">
    <w:p w14:paraId="4EB4810F" w14:textId="77777777" w:rsidR="004C5EC4" w:rsidRDefault="004C5EC4">
      <w:r>
        <w:continuationSeparator/>
      </w:r>
    </w:p>
  </w:endnote>
  <w:endnote w:type="continuationNotice" w:id="1">
    <w:p w14:paraId="795A7C68" w14:textId="77777777" w:rsidR="004C5EC4" w:rsidRDefault="004C5E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sGoth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FD16" w14:textId="77777777" w:rsidR="00582450" w:rsidRDefault="00582450">
    <w:pPr>
      <w:pStyle w:val="Footer"/>
      <w:jc w:val="center"/>
      <w:rPr>
        <w:rFonts w:ascii="NewsGoth BT" w:hAnsi="NewsGoth BT"/>
        <w:sz w:val="20"/>
        <w:szCs w:val="20"/>
      </w:rPr>
    </w:pPr>
  </w:p>
  <w:p w14:paraId="0AF00279" w14:textId="77777777" w:rsidR="00582450" w:rsidRPr="00D8518A" w:rsidRDefault="00582450">
    <w:pPr>
      <w:pStyle w:val="Footer"/>
      <w:jc w:val="center"/>
      <w:rPr>
        <w:rFonts w:ascii="Arial" w:hAnsi="Arial" w:cs="Arial"/>
        <w:sz w:val="20"/>
        <w:szCs w:val="20"/>
      </w:rPr>
    </w:pPr>
    <w:r w:rsidRPr="00D8518A">
      <w:rPr>
        <w:rFonts w:ascii="Arial" w:hAnsi="Arial" w:cs="Arial"/>
        <w:sz w:val="20"/>
        <w:szCs w:val="20"/>
      </w:rPr>
      <w:fldChar w:fldCharType="begin"/>
    </w:r>
    <w:r w:rsidRPr="00D8518A">
      <w:rPr>
        <w:rFonts w:ascii="Arial" w:hAnsi="Arial" w:cs="Arial"/>
        <w:sz w:val="20"/>
        <w:szCs w:val="20"/>
      </w:rPr>
      <w:instrText xml:space="preserve"> PAGE   \* MERGEFORMAT </w:instrText>
    </w:r>
    <w:r w:rsidRPr="00D8518A">
      <w:rPr>
        <w:rFonts w:ascii="Arial" w:hAnsi="Arial" w:cs="Arial"/>
        <w:sz w:val="20"/>
        <w:szCs w:val="20"/>
      </w:rPr>
      <w:fldChar w:fldCharType="separate"/>
    </w:r>
    <w:r w:rsidR="00780825" w:rsidRPr="00D8518A">
      <w:rPr>
        <w:rFonts w:ascii="Arial" w:hAnsi="Arial" w:cs="Arial"/>
        <w:noProof/>
        <w:sz w:val="20"/>
        <w:szCs w:val="20"/>
      </w:rPr>
      <w:t>2</w:t>
    </w:r>
    <w:r w:rsidRPr="00D8518A">
      <w:rPr>
        <w:rFonts w:ascii="Arial" w:hAnsi="Arial" w:cs="Arial"/>
        <w:sz w:val="20"/>
        <w:szCs w:val="20"/>
      </w:rPr>
      <w:fldChar w:fldCharType="end"/>
    </w:r>
  </w:p>
  <w:p w14:paraId="349B8864" w14:textId="77777777" w:rsidR="00582450" w:rsidRPr="009118B9" w:rsidRDefault="00582450" w:rsidP="009118B9">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15AD" w14:textId="77777777" w:rsidR="00582450" w:rsidRDefault="00582450">
    <w:pPr>
      <w:pStyle w:val="Footer"/>
      <w:jc w:val="center"/>
    </w:pPr>
  </w:p>
  <w:p w14:paraId="5CE98D26" w14:textId="77777777" w:rsidR="00582450" w:rsidRPr="00826DC4" w:rsidRDefault="00582450" w:rsidP="00060939">
    <w:pPr>
      <w:pStyle w:val="Footer"/>
      <w:jc w:val="center"/>
      <w:rPr>
        <w:rFonts w:ascii="Arial" w:hAnsi="Arial" w:cs="Arial"/>
        <w:sz w:val="20"/>
        <w:szCs w:val="20"/>
      </w:rPr>
    </w:pPr>
    <w:r w:rsidRPr="00826DC4">
      <w:rPr>
        <w:rFonts w:ascii="Arial" w:hAnsi="Arial" w:cs="Arial"/>
        <w:sz w:val="20"/>
        <w:szCs w:val="20"/>
      </w:rPr>
      <w:fldChar w:fldCharType="begin"/>
    </w:r>
    <w:r w:rsidRPr="00826DC4">
      <w:rPr>
        <w:rFonts w:ascii="Arial" w:hAnsi="Arial" w:cs="Arial"/>
        <w:sz w:val="20"/>
        <w:szCs w:val="20"/>
      </w:rPr>
      <w:instrText xml:space="preserve"> PAGE   \* MERGEFORMAT </w:instrText>
    </w:r>
    <w:r w:rsidRPr="00826DC4">
      <w:rPr>
        <w:rFonts w:ascii="Arial" w:hAnsi="Arial" w:cs="Arial"/>
        <w:sz w:val="20"/>
        <w:szCs w:val="20"/>
      </w:rPr>
      <w:fldChar w:fldCharType="separate"/>
    </w:r>
    <w:r w:rsidR="00780825" w:rsidRPr="00826DC4">
      <w:rPr>
        <w:rFonts w:ascii="Arial" w:hAnsi="Arial" w:cs="Arial"/>
        <w:noProof/>
        <w:sz w:val="20"/>
        <w:szCs w:val="20"/>
      </w:rPr>
      <w:t>1</w:t>
    </w:r>
    <w:r w:rsidRPr="00826DC4">
      <w:rPr>
        <w:rFonts w:ascii="Arial" w:hAnsi="Arial" w:cs="Arial"/>
        <w:sz w:val="20"/>
        <w:szCs w:val="20"/>
      </w:rPr>
      <w:fldChar w:fldCharType="end"/>
    </w:r>
  </w:p>
  <w:p w14:paraId="06D8DC06" w14:textId="77777777" w:rsidR="00582450" w:rsidRDefault="0058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62BD" w14:textId="77777777" w:rsidR="004C5EC4" w:rsidRDefault="004C5EC4">
      <w:r>
        <w:separator/>
      </w:r>
    </w:p>
  </w:footnote>
  <w:footnote w:type="continuationSeparator" w:id="0">
    <w:p w14:paraId="4F21AFFB" w14:textId="77777777" w:rsidR="004C5EC4" w:rsidRDefault="004C5EC4">
      <w:r>
        <w:continuationSeparator/>
      </w:r>
    </w:p>
  </w:footnote>
  <w:footnote w:type="continuationNotice" w:id="1">
    <w:p w14:paraId="0D86B944" w14:textId="77777777" w:rsidR="004C5EC4" w:rsidRDefault="004C5E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4AE7" w14:textId="77777777" w:rsidR="00582450" w:rsidRDefault="00582450" w:rsidP="001B6823">
    <w:pPr>
      <w:pStyle w:val="Header"/>
      <w:tabs>
        <w:tab w:val="clear" w:pos="4153"/>
        <w:tab w:val="clear" w:pos="8306"/>
        <w:tab w:val="left" w:pos="56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3C4E" w14:textId="2CA920D6" w:rsidR="00582450" w:rsidRPr="00955165" w:rsidRDefault="00A75D98" w:rsidP="00A75D98">
    <w:pPr>
      <w:pStyle w:val="Header"/>
      <w:jc w:val="right"/>
      <w:rPr>
        <w:rFonts w:ascii="Arial" w:hAnsi="Arial" w:cs="Arial"/>
        <w:noProof/>
        <w:color w:val="000000"/>
        <w:sz w:val="20"/>
        <w:szCs w:val="20"/>
        <w:lang w:eastAsia="en-GB"/>
      </w:rPr>
    </w:pPr>
    <w:r w:rsidRPr="00F378E2">
      <w:rPr>
        <w:noProof/>
        <w:lang w:eastAsia="en-GB"/>
      </w:rPr>
      <w:drawing>
        <wp:inline distT="0" distB="0" distL="0" distR="0" wp14:anchorId="6F5D794C" wp14:editId="7003445B">
          <wp:extent cx="2420212" cy="7620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7364" cy="761103"/>
                  </a:xfrm>
                  <a:prstGeom prst="rect">
                    <a:avLst/>
                  </a:prstGeom>
                  <a:noFill/>
                  <a:ln>
                    <a:noFill/>
                  </a:ln>
                </pic:spPr>
              </pic:pic>
            </a:graphicData>
          </a:graphic>
        </wp:inline>
      </w:drawing>
    </w:r>
  </w:p>
  <w:p w14:paraId="1BBD4DB6" w14:textId="77777777" w:rsidR="00582450" w:rsidRDefault="00582450" w:rsidP="00060939">
    <w:pPr>
      <w:pStyle w:val="Header"/>
      <w:shd w:val="clear" w:color="auto" w:fill="D9D9D9"/>
      <w:tabs>
        <w:tab w:val="clear" w:pos="8306"/>
        <w:tab w:val="left" w:pos="567"/>
        <w:tab w:val="left" w:pos="1320"/>
        <w:tab w:val="left" w:pos="4153"/>
      </w:tabs>
      <w:ind w:firstLine="567"/>
      <w:rPr>
        <w:rFonts w:ascii="Arial" w:hAnsi="Arial" w:cs="Arial"/>
        <w:noProof/>
        <w:color w:val="000000"/>
        <w:sz w:val="28"/>
        <w:szCs w:val="28"/>
        <w:lang w:eastAsia="en-GB"/>
      </w:rPr>
    </w:pPr>
    <w:r>
      <w:rPr>
        <w:rFonts w:ascii="Arial" w:hAnsi="Arial" w:cs="Arial"/>
        <w:noProof/>
        <w:color w:val="000000"/>
        <w:sz w:val="28"/>
        <w:szCs w:val="28"/>
        <w:lang w:eastAsia="en-GB"/>
      </w:rPr>
      <w:tab/>
    </w:r>
    <w:r>
      <w:rPr>
        <w:rFonts w:ascii="Arial" w:hAnsi="Arial" w:cs="Arial"/>
        <w:noProof/>
        <w:color w:val="000000"/>
        <w:sz w:val="28"/>
        <w:szCs w:val="28"/>
        <w:lang w:eastAsia="en-GB"/>
      </w:rPr>
      <w:tab/>
    </w:r>
  </w:p>
  <w:p w14:paraId="485AFCA2" w14:textId="77777777" w:rsidR="00582450" w:rsidRPr="001A3DC3" w:rsidRDefault="00582450" w:rsidP="008A7D29">
    <w:pPr>
      <w:pStyle w:val="Header"/>
      <w:shd w:val="clear" w:color="auto" w:fill="D9D9D9"/>
      <w:tabs>
        <w:tab w:val="clear" w:pos="4153"/>
        <w:tab w:val="clear" w:pos="8306"/>
        <w:tab w:val="left" w:pos="284"/>
      </w:tabs>
      <w:rPr>
        <w:rFonts w:ascii="Arial" w:hAnsi="Arial" w:cs="Arial"/>
        <w:b/>
        <w:bCs/>
        <w:sz w:val="28"/>
        <w:szCs w:val="28"/>
      </w:rPr>
    </w:pPr>
    <w:r>
      <w:rPr>
        <w:rFonts w:ascii="Arial" w:hAnsi="Arial" w:cs="Arial"/>
        <w:noProof/>
        <w:color w:val="000000"/>
        <w:sz w:val="28"/>
        <w:szCs w:val="28"/>
        <w:lang w:eastAsia="en-GB"/>
      </w:rPr>
      <w:tab/>
      <w:t>Guide from</w:t>
    </w:r>
  </w:p>
  <w:p w14:paraId="659AB18F" w14:textId="77777777" w:rsidR="00582450" w:rsidRPr="001A3DC3" w:rsidRDefault="00582450" w:rsidP="008A7D29">
    <w:pPr>
      <w:pStyle w:val="Header"/>
      <w:shd w:val="clear" w:color="auto" w:fill="D9D9D9"/>
      <w:tabs>
        <w:tab w:val="clear" w:pos="4153"/>
        <w:tab w:val="clear" w:pos="8306"/>
        <w:tab w:val="left" w:pos="284"/>
      </w:tabs>
      <w:rPr>
        <w:rFonts w:ascii="Arial" w:hAnsi="Arial" w:cs="Arial"/>
        <w:b/>
        <w:bCs/>
        <w:sz w:val="44"/>
        <w:szCs w:val="44"/>
      </w:rPr>
    </w:pPr>
    <w:r>
      <w:rPr>
        <w:rFonts w:ascii="Arial" w:hAnsi="Arial" w:cs="Arial"/>
        <w:bCs/>
        <w:sz w:val="44"/>
        <w:szCs w:val="44"/>
      </w:rPr>
      <w:tab/>
    </w:r>
    <w:r w:rsidRPr="001A3DC3">
      <w:rPr>
        <w:rFonts w:ascii="Arial" w:hAnsi="Arial" w:cs="Arial"/>
        <w:bCs/>
        <w:sz w:val="44"/>
        <w:szCs w:val="44"/>
      </w:rPr>
      <w:t>[insert your firm’s name here]</w:t>
    </w:r>
  </w:p>
  <w:p w14:paraId="7A9AAB90" w14:textId="77777777" w:rsidR="00582450" w:rsidRPr="001A3DC3" w:rsidRDefault="00582450" w:rsidP="008A7D29">
    <w:pPr>
      <w:pStyle w:val="Header"/>
      <w:shd w:val="clear" w:color="auto" w:fill="D9D9D9"/>
      <w:tabs>
        <w:tab w:val="clear" w:pos="4153"/>
        <w:tab w:val="clear" w:pos="8306"/>
        <w:tab w:val="left" w:pos="915"/>
      </w:tabs>
      <w:rPr>
        <w:rFonts w:ascii="Arial" w:hAnsi="Arial" w:cs="Arial"/>
        <w:b/>
        <w:bCs/>
      </w:rPr>
    </w:pPr>
    <w:r>
      <w:rPr>
        <w:rFonts w:ascii="Arial" w:hAnsi="Arial" w:cs="Arial"/>
        <w:b/>
        <w:bCs/>
      </w:rPr>
      <w:tab/>
    </w:r>
  </w:p>
  <w:p w14:paraId="1AB4B3BE" w14:textId="3A55B546" w:rsidR="00582450" w:rsidRDefault="00582450" w:rsidP="008A7D29">
    <w:pPr>
      <w:pStyle w:val="Header"/>
      <w:shd w:val="clear" w:color="auto" w:fill="D9D9D9"/>
      <w:tabs>
        <w:tab w:val="clear" w:pos="4153"/>
        <w:tab w:val="clear" w:pos="8306"/>
        <w:tab w:val="left" w:pos="284"/>
      </w:tabs>
      <w:rPr>
        <w:rFonts w:ascii="Arial" w:hAnsi="Arial" w:cs="Arial"/>
        <w:bCs/>
        <w:sz w:val="20"/>
        <w:szCs w:val="20"/>
      </w:rPr>
    </w:pPr>
    <w:r>
      <w:rPr>
        <w:rFonts w:ascii="Arial" w:hAnsi="Arial" w:cs="Arial"/>
        <w:bCs/>
        <w:sz w:val="20"/>
        <w:szCs w:val="20"/>
      </w:rPr>
      <w:tab/>
    </w:r>
    <w:r w:rsidRPr="00892B85">
      <w:rPr>
        <w:rFonts w:ascii="Arial" w:hAnsi="Arial" w:cs="Arial"/>
        <w:bCs/>
        <w:sz w:val="20"/>
        <w:szCs w:val="20"/>
      </w:rPr>
      <w:t xml:space="preserve">Tel: </w:t>
    </w:r>
    <w:r>
      <w:rPr>
        <w:rFonts w:ascii="Arial" w:hAnsi="Arial" w:cs="Arial"/>
        <w:bCs/>
        <w:sz w:val="20"/>
        <w:szCs w:val="20"/>
      </w:rPr>
      <w:t>[insert telephone number here] E</w:t>
    </w:r>
    <w:r w:rsidRPr="00892B85">
      <w:rPr>
        <w:rFonts w:ascii="Arial" w:hAnsi="Arial" w:cs="Arial"/>
        <w:bCs/>
        <w:sz w:val="20"/>
        <w:szCs w:val="20"/>
      </w:rPr>
      <w:t>mail</w:t>
    </w:r>
    <w:r>
      <w:rPr>
        <w:rFonts w:ascii="Arial" w:hAnsi="Arial" w:cs="Arial"/>
        <w:bCs/>
        <w:sz w:val="20"/>
        <w:szCs w:val="20"/>
      </w:rPr>
      <w:t>:</w:t>
    </w:r>
    <w:r w:rsidR="00020C9A">
      <w:rPr>
        <w:rFonts w:ascii="Arial" w:hAnsi="Arial" w:cs="Arial"/>
        <w:bCs/>
        <w:sz w:val="20"/>
        <w:szCs w:val="20"/>
      </w:rPr>
      <w:t xml:space="preserve"> </w:t>
    </w:r>
    <w:r>
      <w:rPr>
        <w:rFonts w:ascii="Arial" w:hAnsi="Arial" w:cs="Arial"/>
        <w:bCs/>
        <w:sz w:val="20"/>
        <w:szCs w:val="20"/>
      </w:rPr>
      <w:t xml:space="preserve">[insert email address here] </w:t>
    </w:r>
    <w:r w:rsidR="00020C9A">
      <w:rPr>
        <w:rFonts w:ascii="Arial" w:hAnsi="Arial" w:cs="Arial"/>
        <w:bCs/>
        <w:sz w:val="20"/>
        <w:szCs w:val="20"/>
      </w:rPr>
      <w:t xml:space="preserve">Website: </w:t>
    </w:r>
    <w:r>
      <w:rPr>
        <w:rFonts w:ascii="Arial" w:hAnsi="Arial" w:cs="Arial"/>
        <w:bCs/>
        <w:sz w:val="20"/>
        <w:szCs w:val="20"/>
      </w:rPr>
      <w:t>[Insert web address here]</w:t>
    </w:r>
  </w:p>
  <w:p w14:paraId="21604064" w14:textId="77777777" w:rsidR="00582450" w:rsidRDefault="00582450" w:rsidP="008A7D29">
    <w:pPr>
      <w:pStyle w:val="Header"/>
      <w:shd w:val="clear" w:color="auto" w:fill="D9D9D9"/>
      <w:tabs>
        <w:tab w:val="clear" w:pos="4153"/>
        <w:tab w:val="clear" w:pos="8306"/>
        <w:tab w:val="left" w:pos="284"/>
      </w:tabs>
      <w:jc w:val="both"/>
      <w:rPr>
        <w:rFonts w:ascii="Arial" w:hAnsi="Arial" w:cs="Arial"/>
        <w:sz w:val="20"/>
        <w:szCs w:val="20"/>
      </w:rPr>
    </w:pPr>
  </w:p>
  <w:p w14:paraId="0492F0EF" w14:textId="77777777" w:rsidR="00582450" w:rsidRDefault="00582450" w:rsidP="008A7D29">
    <w:pPr>
      <w:pStyle w:val="Header"/>
      <w:shd w:val="clear" w:color="auto" w:fill="D9D9D9"/>
      <w:tabs>
        <w:tab w:val="clear" w:pos="4153"/>
        <w:tab w:val="clear" w:pos="8306"/>
        <w:tab w:val="left" w:pos="284"/>
      </w:tabs>
      <w:spacing w:line="360" w:lineRule="auto"/>
      <w:jc w:val="both"/>
      <w:rPr>
        <w:rFonts w:ascii="Arial" w:hAnsi="Arial" w:cs="Arial"/>
        <w:sz w:val="20"/>
        <w:szCs w:val="20"/>
      </w:rPr>
    </w:pPr>
    <w:r>
      <w:rPr>
        <w:rFonts w:ascii="Arial" w:hAnsi="Arial" w:cs="Arial"/>
        <w:sz w:val="20"/>
        <w:szCs w:val="20"/>
      </w:rPr>
      <w:tab/>
      <w:t>[Insert a line about your business here]</w:t>
    </w:r>
  </w:p>
  <w:p w14:paraId="1431A192" w14:textId="77777777" w:rsidR="00582450" w:rsidRDefault="00582450" w:rsidP="001B6823">
    <w:pPr>
      <w:pStyle w:val="Header"/>
      <w:tabs>
        <w:tab w:val="clear" w:pos="4153"/>
        <w:tab w:val="clear" w:pos="8306"/>
        <w:tab w:val="left" w:pos="284"/>
      </w:tabs>
      <w:jc w:val="both"/>
      <w:rPr>
        <w:rFonts w:ascii="Arial" w:hAnsi="Arial" w:cs="Arial"/>
        <w:i/>
        <w:color w:val="808080"/>
        <w:sz w:val="18"/>
        <w:szCs w:val="18"/>
      </w:rPr>
    </w:pPr>
  </w:p>
  <w:p w14:paraId="4F101FFA" w14:textId="77777777" w:rsidR="00582450" w:rsidRPr="00826DC4" w:rsidRDefault="00582450" w:rsidP="00B16876">
    <w:pPr>
      <w:pStyle w:val="Header"/>
      <w:tabs>
        <w:tab w:val="clear" w:pos="4153"/>
        <w:tab w:val="clear" w:pos="8306"/>
        <w:tab w:val="left" w:pos="284"/>
      </w:tabs>
      <w:jc w:val="both"/>
      <w:rPr>
        <w:rFonts w:ascii="Arial" w:hAnsi="Arial" w:cs="Arial"/>
        <w:i/>
        <w:color w:val="7F7F7F"/>
        <w:sz w:val="15"/>
        <w:szCs w:val="15"/>
      </w:rPr>
    </w:pPr>
    <w:r w:rsidRPr="00826DC4">
      <w:rPr>
        <w:rFonts w:ascii="Arial" w:hAnsi="Arial" w:cs="Arial"/>
        <w:i/>
        <w:color w:val="7F7F7F"/>
        <w:sz w:val="15"/>
        <w:szCs w:val="15"/>
      </w:rPr>
      <w:tab/>
      <w:t xml:space="preserve">Edit the above information by clicking directly within the grey panel, or by clicking ‘View’ in the main toolbar and selecting ‘Header and </w:t>
    </w:r>
    <w:proofErr w:type="gramStart"/>
    <w:r w:rsidRPr="00826DC4">
      <w:rPr>
        <w:rFonts w:ascii="Arial" w:hAnsi="Arial" w:cs="Arial"/>
        <w:i/>
        <w:color w:val="7F7F7F"/>
        <w:sz w:val="15"/>
        <w:szCs w:val="15"/>
      </w:rPr>
      <w:t>Footer’</w:t>
    </w:r>
    <w:proofErr w:type="gramEnd"/>
  </w:p>
  <w:p w14:paraId="38A78DAA" w14:textId="77777777" w:rsidR="00582450" w:rsidRPr="001A3DC3" w:rsidRDefault="00582450" w:rsidP="001B6823">
    <w:pPr>
      <w:pStyle w:val="Header"/>
      <w:jc w:val="both"/>
      <w:rPr>
        <w:rFonts w:ascii="Arial" w:hAnsi="Arial" w:cs="Arial"/>
        <w:b/>
        <w:bCs/>
        <w:color w:val="808080"/>
        <w:sz w:val="18"/>
        <w:szCs w:val="18"/>
      </w:rPr>
    </w:pPr>
  </w:p>
  <w:p w14:paraId="0EF2966A" w14:textId="77777777" w:rsidR="00582450" w:rsidRPr="00A810D9" w:rsidRDefault="00582450" w:rsidP="001B6823">
    <w:pPr>
      <w:pStyle w:val="Header"/>
      <w:rPr>
        <w:szCs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81F8D"/>
    <w:multiLevelType w:val="hybridMultilevel"/>
    <w:tmpl w:val="4618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47878"/>
    <w:multiLevelType w:val="hybridMultilevel"/>
    <w:tmpl w:val="E4C4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346242">
    <w:abstractNumId w:val="0"/>
  </w:num>
  <w:num w:numId="2" w16cid:durableId="51014549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192"/>
    <w:rsid w:val="00007AE1"/>
    <w:rsid w:val="00007EA1"/>
    <w:rsid w:val="00007EA3"/>
    <w:rsid w:val="00010DA1"/>
    <w:rsid w:val="00011A69"/>
    <w:rsid w:val="00014EE4"/>
    <w:rsid w:val="000166E6"/>
    <w:rsid w:val="00017143"/>
    <w:rsid w:val="00017F24"/>
    <w:rsid w:val="00020C9A"/>
    <w:rsid w:val="00022BCA"/>
    <w:rsid w:val="00022C30"/>
    <w:rsid w:val="00023486"/>
    <w:rsid w:val="000242BC"/>
    <w:rsid w:val="00024F49"/>
    <w:rsid w:val="00025A47"/>
    <w:rsid w:val="00027568"/>
    <w:rsid w:val="00031A0E"/>
    <w:rsid w:val="00037CC1"/>
    <w:rsid w:val="000459A6"/>
    <w:rsid w:val="0005013F"/>
    <w:rsid w:val="00050D76"/>
    <w:rsid w:val="00054AFE"/>
    <w:rsid w:val="00054F2F"/>
    <w:rsid w:val="000554CF"/>
    <w:rsid w:val="00057526"/>
    <w:rsid w:val="00057961"/>
    <w:rsid w:val="00060939"/>
    <w:rsid w:val="00061073"/>
    <w:rsid w:val="000632CE"/>
    <w:rsid w:val="00064308"/>
    <w:rsid w:val="00067CFA"/>
    <w:rsid w:val="000702EB"/>
    <w:rsid w:val="0007192B"/>
    <w:rsid w:val="0007342C"/>
    <w:rsid w:val="00074DF0"/>
    <w:rsid w:val="00085CB0"/>
    <w:rsid w:val="00085EE6"/>
    <w:rsid w:val="000867B6"/>
    <w:rsid w:val="0009000F"/>
    <w:rsid w:val="00091952"/>
    <w:rsid w:val="0009444A"/>
    <w:rsid w:val="00094E92"/>
    <w:rsid w:val="00095B10"/>
    <w:rsid w:val="00096DB3"/>
    <w:rsid w:val="000A242A"/>
    <w:rsid w:val="000A2BEE"/>
    <w:rsid w:val="000A3CD2"/>
    <w:rsid w:val="000B4ED9"/>
    <w:rsid w:val="000C0C11"/>
    <w:rsid w:val="000C10D5"/>
    <w:rsid w:val="000C11F5"/>
    <w:rsid w:val="000C3BB8"/>
    <w:rsid w:val="000C53E8"/>
    <w:rsid w:val="000C7686"/>
    <w:rsid w:val="000D47E9"/>
    <w:rsid w:val="000D4CD3"/>
    <w:rsid w:val="000D620D"/>
    <w:rsid w:val="000E277C"/>
    <w:rsid w:val="000E5949"/>
    <w:rsid w:val="000F0718"/>
    <w:rsid w:val="000F1453"/>
    <w:rsid w:val="000F229A"/>
    <w:rsid w:val="000F24F7"/>
    <w:rsid w:val="000F3474"/>
    <w:rsid w:val="001027C3"/>
    <w:rsid w:val="00106927"/>
    <w:rsid w:val="001078BA"/>
    <w:rsid w:val="001139A8"/>
    <w:rsid w:val="00120189"/>
    <w:rsid w:val="00122B20"/>
    <w:rsid w:val="001231CD"/>
    <w:rsid w:val="0012348F"/>
    <w:rsid w:val="0013603B"/>
    <w:rsid w:val="00137EE6"/>
    <w:rsid w:val="0014437D"/>
    <w:rsid w:val="0015318A"/>
    <w:rsid w:val="00154558"/>
    <w:rsid w:val="00162060"/>
    <w:rsid w:val="00162223"/>
    <w:rsid w:val="0016225D"/>
    <w:rsid w:val="001644E4"/>
    <w:rsid w:val="00166863"/>
    <w:rsid w:val="00170154"/>
    <w:rsid w:val="001731AA"/>
    <w:rsid w:val="00173FBE"/>
    <w:rsid w:val="00174D61"/>
    <w:rsid w:val="00175B52"/>
    <w:rsid w:val="001821EC"/>
    <w:rsid w:val="00186D41"/>
    <w:rsid w:val="001874FC"/>
    <w:rsid w:val="00194B7E"/>
    <w:rsid w:val="00195EDC"/>
    <w:rsid w:val="00197F05"/>
    <w:rsid w:val="001A030F"/>
    <w:rsid w:val="001A0EEB"/>
    <w:rsid w:val="001A14CD"/>
    <w:rsid w:val="001A1A85"/>
    <w:rsid w:val="001A1CA6"/>
    <w:rsid w:val="001A3DC3"/>
    <w:rsid w:val="001A6025"/>
    <w:rsid w:val="001B0198"/>
    <w:rsid w:val="001B4ABB"/>
    <w:rsid w:val="001B4AED"/>
    <w:rsid w:val="001B61BC"/>
    <w:rsid w:val="001B61EE"/>
    <w:rsid w:val="001B65B2"/>
    <w:rsid w:val="001B6823"/>
    <w:rsid w:val="001B6BD6"/>
    <w:rsid w:val="001C2414"/>
    <w:rsid w:val="001C2660"/>
    <w:rsid w:val="001C2807"/>
    <w:rsid w:val="001C6D3B"/>
    <w:rsid w:val="001C7011"/>
    <w:rsid w:val="001D075C"/>
    <w:rsid w:val="001D26CC"/>
    <w:rsid w:val="001D31AA"/>
    <w:rsid w:val="001D3560"/>
    <w:rsid w:val="001D3D13"/>
    <w:rsid w:val="001D7A5F"/>
    <w:rsid w:val="001D7F21"/>
    <w:rsid w:val="001E399C"/>
    <w:rsid w:val="001F1AAF"/>
    <w:rsid w:val="001F2E2E"/>
    <w:rsid w:val="001F408A"/>
    <w:rsid w:val="001F4E1B"/>
    <w:rsid w:val="001F73EF"/>
    <w:rsid w:val="002014B1"/>
    <w:rsid w:val="00202C60"/>
    <w:rsid w:val="002031C7"/>
    <w:rsid w:val="002065E0"/>
    <w:rsid w:val="00211A04"/>
    <w:rsid w:val="00212307"/>
    <w:rsid w:val="002141B3"/>
    <w:rsid w:val="00214730"/>
    <w:rsid w:val="0021578B"/>
    <w:rsid w:val="00216A34"/>
    <w:rsid w:val="002202A1"/>
    <w:rsid w:val="00230507"/>
    <w:rsid w:val="0024054B"/>
    <w:rsid w:val="00241606"/>
    <w:rsid w:val="002418B2"/>
    <w:rsid w:val="00242A37"/>
    <w:rsid w:val="00246761"/>
    <w:rsid w:val="00250C15"/>
    <w:rsid w:val="002548D9"/>
    <w:rsid w:val="002555B6"/>
    <w:rsid w:val="00257D90"/>
    <w:rsid w:val="00261DE8"/>
    <w:rsid w:val="002638F1"/>
    <w:rsid w:val="00270F7F"/>
    <w:rsid w:val="002711E8"/>
    <w:rsid w:val="00273234"/>
    <w:rsid w:val="00273251"/>
    <w:rsid w:val="00274FE0"/>
    <w:rsid w:val="00277788"/>
    <w:rsid w:val="00282979"/>
    <w:rsid w:val="0028326A"/>
    <w:rsid w:val="00284D9C"/>
    <w:rsid w:val="00285CE9"/>
    <w:rsid w:val="00290CD2"/>
    <w:rsid w:val="00291383"/>
    <w:rsid w:val="002925F3"/>
    <w:rsid w:val="00294A7C"/>
    <w:rsid w:val="00294BDE"/>
    <w:rsid w:val="00295679"/>
    <w:rsid w:val="00295B84"/>
    <w:rsid w:val="00295CB8"/>
    <w:rsid w:val="002A13BE"/>
    <w:rsid w:val="002A1B4C"/>
    <w:rsid w:val="002A7A4F"/>
    <w:rsid w:val="002B15A0"/>
    <w:rsid w:val="002B3CEB"/>
    <w:rsid w:val="002B3CEF"/>
    <w:rsid w:val="002B5881"/>
    <w:rsid w:val="002B7051"/>
    <w:rsid w:val="002B7CD6"/>
    <w:rsid w:val="002C3D74"/>
    <w:rsid w:val="002D0D26"/>
    <w:rsid w:val="002D1E66"/>
    <w:rsid w:val="002D2A6B"/>
    <w:rsid w:val="002D5CD9"/>
    <w:rsid w:val="002D5DED"/>
    <w:rsid w:val="002D7602"/>
    <w:rsid w:val="002D7E5A"/>
    <w:rsid w:val="002E0497"/>
    <w:rsid w:val="002E0D4D"/>
    <w:rsid w:val="002E10AD"/>
    <w:rsid w:val="002E1B55"/>
    <w:rsid w:val="002E35CA"/>
    <w:rsid w:val="002E47D4"/>
    <w:rsid w:val="002E4EAF"/>
    <w:rsid w:val="002E5807"/>
    <w:rsid w:val="002E634A"/>
    <w:rsid w:val="002F2E6B"/>
    <w:rsid w:val="002F5B4E"/>
    <w:rsid w:val="00300A2A"/>
    <w:rsid w:val="00307FAC"/>
    <w:rsid w:val="00311523"/>
    <w:rsid w:val="00320127"/>
    <w:rsid w:val="003232C5"/>
    <w:rsid w:val="00323A7B"/>
    <w:rsid w:val="0032427B"/>
    <w:rsid w:val="00324305"/>
    <w:rsid w:val="00324D12"/>
    <w:rsid w:val="00324EA6"/>
    <w:rsid w:val="00326F7D"/>
    <w:rsid w:val="00327DF2"/>
    <w:rsid w:val="0033029D"/>
    <w:rsid w:val="00334795"/>
    <w:rsid w:val="00334F7F"/>
    <w:rsid w:val="00336CF3"/>
    <w:rsid w:val="00337C04"/>
    <w:rsid w:val="003422BD"/>
    <w:rsid w:val="0034448E"/>
    <w:rsid w:val="00346DBE"/>
    <w:rsid w:val="003509D0"/>
    <w:rsid w:val="00350EFC"/>
    <w:rsid w:val="00351B17"/>
    <w:rsid w:val="003546AC"/>
    <w:rsid w:val="00357C4B"/>
    <w:rsid w:val="003762D6"/>
    <w:rsid w:val="00377F50"/>
    <w:rsid w:val="00381251"/>
    <w:rsid w:val="00382CE0"/>
    <w:rsid w:val="00384B8B"/>
    <w:rsid w:val="003925CA"/>
    <w:rsid w:val="00397660"/>
    <w:rsid w:val="003A0A26"/>
    <w:rsid w:val="003A1FD5"/>
    <w:rsid w:val="003A32DB"/>
    <w:rsid w:val="003A4F8A"/>
    <w:rsid w:val="003A6D2F"/>
    <w:rsid w:val="003C4412"/>
    <w:rsid w:val="003C4E7A"/>
    <w:rsid w:val="003C5A3A"/>
    <w:rsid w:val="003C76A9"/>
    <w:rsid w:val="003C77C0"/>
    <w:rsid w:val="003C7AAC"/>
    <w:rsid w:val="003D0D2E"/>
    <w:rsid w:val="003D11E9"/>
    <w:rsid w:val="003D255E"/>
    <w:rsid w:val="003D345E"/>
    <w:rsid w:val="003D4DB0"/>
    <w:rsid w:val="003D6C6C"/>
    <w:rsid w:val="003D6F28"/>
    <w:rsid w:val="003D7A8A"/>
    <w:rsid w:val="003E12E4"/>
    <w:rsid w:val="003E15DD"/>
    <w:rsid w:val="003E645A"/>
    <w:rsid w:val="003E7359"/>
    <w:rsid w:val="003E7CCA"/>
    <w:rsid w:val="003F2BA9"/>
    <w:rsid w:val="003F5FCD"/>
    <w:rsid w:val="00401E0A"/>
    <w:rsid w:val="004037D2"/>
    <w:rsid w:val="004070CD"/>
    <w:rsid w:val="004160E1"/>
    <w:rsid w:val="0041756D"/>
    <w:rsid w:val="00422C42"/>
    <w:rsid w:val="004243F1"/>
    <w:rsid w:val="00425ED1"/>
    <w:rsid w:val="004261C3"/>
    <w:rsid w:val="0042713A"/>
    <w:rsid w:val="00431D69"/>
    <w:rsid w:val="0043310F"/>
    <w:rsid w:val="00434DC2"/>
    <w:rsid w:val="00444D6A"/>
    <w:rsid w:val="00446786"/>
    <w:rsid w:val="00451AFD"/>
    <w:rsid w:val="00453897"/>
    <w:rsid w:val="00455320"/>
    <w:rsid w:val="004600FC"/>
    <w:rsid w:val="004668A8"/>
    <w:rsid w:val="0047420C"/>
    <w:rsid w:val="00476751"/>
    <w:rsid w:val="00476A38"/>
    <w:rsid w:val="0048099E"/>
    <w:rsid w:val="00481567"/>
    <w:rsid w:val="004834A7"/>
    <w:rsid w:val="004845D4"/>
    <w:rsid w:val="0048489A"/>
    <w:rsid w:val="00484C90"/>
    <w:rsid w:val="004862AD"/>
    <w:rsid w:val="00490B2C"/>
    <w:rsid w:val="00493CC9"/>
    <w:rsid w:val="004948D0"/>
    <w:rsid w:val="00494C81"/>
    <w:rsid w:val="00497BC2"/>
    <w:rsid w:val="00497F95"/>
    <w:rsid w:val="004A44EC"/>
    <w:rsid w:val="004A51B3"/>
    <w:rsid w:val="004B1606"/>
    <w:rsid w:val="004B1781"/>
    <w:rsid w:val="004B1FC0"/>
    <w:rsid w:val="004B2AA0"/>
    <w:rsid w:val="004B31B3"/>
    <w:rsid w:val="004C132D"/>
    <w:rsid w:val="004C55D0"/>
    <w:rsid w:val="004C5654"/>
    <w:rsid w:val="004C5EC4"/>
    <w:rsid w:val="004C708A"/>
    <w:rsid w:val="004C7138"/>
    <w:rsid w:val="004C774B"/>
    <w:rsid w:val="004D1BA9"/>
    <w:rsid w:val="004D4905"/>
    <w:rsid w:val="004E1C1F"/>
    <w:rsid w:val="004E3064"/>
    <w:rsid w:val="004E30BF"/>
    <w:rsid w:val="004E53C7"/>
    <w:rsid w:val="004E53D5"/>
    <w:rsid w:val="004E581E"/>
    <w:rsid w:val="004E58B4"/>
    <w:rsid w:val="004E7974"/>
    <w:rsid w:val="004F1477"/>
    <w:rsid w:val="004F28EF"/>
    <w:rsid w:val="004F556C"/>
    <w:rsid w:val="004F578A"/>
    <w:rsid w:val="004F6E4A"/>
    <w:rsid w:val="004F7482"/>
    <w:rsid w:val="00501335"/>
    <w:rsid w:val="00501D9C"/>
    <w:rsid w:val="005026BA"/>
    <w:rsid w:val="005047D0"/>
    <w:rsid w:val="00505C17"/>
    <w:rsid w:val="00514A47"/>
    <w:rsid w:val="005150B4"/>
    <w:rsid w:val="00516623"/>
    <w:rsid w:val="00522359"/>
    <w:rsid w:val="005223CB"/>
    <w:rsid w:val="00522892"/>
    <w:rsid w:val="005344A1"/>
    <w:rsid w:val="00534B4A"/>
    <w:rsid w:val="005359F8"/>
    <w:rsid w:val="0053755B"/>
    <w:rsid w:val="00541049"/>
    <w:rsid w:val="005439B6"/>
    <w:rsid w:val="00543C12"/>
    <w:rsid w:val="0054554E"/>
    <w:rsid w:val="00547480"/>
    <w:rsid w:val="00552B71"/>
    <w:rsid w:val="005537FD"/>
    <w:rsid w:val="00553C37"/>
    <w:rsid w:val="00554C98"/>
    <w:rsid w:val="00556051"/>
    <w:rsid w:val="0056030A"/>
    <w:rsid w:val="00562C10"/>
    <w:rsid w:val="0056318B"/>
    <w:rsid w:val="00563A52"/>
    <w:rsid w:val="00563B78"/>
    <w:rsid w:val="00566616"/>
    <w:rsid w:val="005672C4"/>
    <w:rsid w:val="00573358"/>
    <w:rsid w:val="0057416B"/>
    <w:rsid w:val="00574855"/>
    <w:rsid w:val="005749D1"/>
    <w:rsid w:val="005772B0"/>
    <w:rsid w:val="005774E7"/>
    <w:rsid w:val="00580C4F"/>
    <w:rsid w:val="00582450"/>
    <w:rsid w:val="00582C3A"/>
    <w:rsid w:val="005833A9"/>
    <w:rsid w:val="00583DB3"/>
    <w:rsid w:val="0058400C"/>
    <w:rsid w:val="00585136"/>
    <w:rsid w:val="00585D81"/>
    <w:rsid w:val="00585FD5"/>
    <w:rsid w:val="00586FB2"/>
    <w:rsid w:val="00587819"/>
    <w:rsid w:val="005909CE"/>
    <w:rsid w:val="005951B0"/>
    <w:rsid w:val="005B65DA"/>
    <w:rsid w:val="005B7B8F"/>
    <w:rsid w:val="005C2BD5"/>
    <w:rsid w:val="005C69E7"/>
    <w:rsid w:val="005D335B"/>
    <w:rsid w:val="005D455D"/>
    <w:rsid w:val="005D4CE7"/>
    <w:rsid w:val="005D5844"/>
    <w:rsid w:val="005E5F9C"/>
    <w:rsid w:val="005E7F6F"/>
    <w:rsid w:val="005F06F8"/>
    <w:rsid w:val="005F33CB"/>
    <w:rsid w:val="0060140A"/>
    <w:rsid w:val="006019BC"/>
    <w:rsid w:val="00602074"/>
    <w:rsid w:val="00604E4A"/>
    <w:rsid w:val="00604FE2"/>
    <w:rsid w:val="00610228"/>
    <w:rsid w:val="00610B24"/>
    <w:rsid w:val="0061195A"/>
    <w:rsid w:val="00616C66"/>
    <w:rsid w:val="0062120D"/>
    <w:rsid w:val="00621AFA"/>
    <w:rsid w:val="006229C3"/>
    <w:rsid w:val="00626D31"/>
    <w:rsid w:val="00627F76"/>
    <w:rsid w:val="006316FC"/>
    <w:rsid w:val="00632128"/>
    <w:rsid w:val="00642E9C"/>
    <w:rsid w:val="00643FFE"/>
    <w:rsid w:val="00644F3A"/>
    <w:rsid w:val="006474DD"/>
    <w:rsid w:val="006501DA"/>
    <w:rsid w:val="0065043F"/>
    <w:rsid w:val="006504D2"/>
    <w:rsid w:val="00651B8F"/>
    <w:rsid w:val="00652287"/>
    <w:rsid w:val="00652DAC"/>
    <w:rsid w:val="00653D8C"/>
    <w:rsid w:val="00656202"/>
    <w:rsid w:val="00656A8D"/>
    <w:rsid w:val="0065704D"/>
    <w:rsid w:val="006659DC"/>
    <w:rsid w:val="00667292"/>
    <w:rsid w:val="0066754F"/>
    <w:rsid w:val="0067284A"/>
    <w:rsid w:val="00672F41"/>
    <w:rsid w:val="00673DCC"/>
    <w:rsid w:val="00675645"/>
    <w:rsid w:val="00677712"/>
    <w:rsid w:val="0068146F"/>
    <w:rsid w:val="0068273D"/>
    <w:rsid w:val="00682BBF"/>
    <w:rsid w:val="00686BEC"/>
    <w:rsid w:val="006879ED"/>
    <w:rsid w:val="006919F3"/>
    <w:rsid w:val="00693FCC"/>
    <w:rsid w:val="00694103"/>
    <w:rsid w:val="00694815"/>
    <w:rsid w:val="00696368"/>
    <w:rsid w:val="00696392"/>
    <w:rsid w:val="006A1BC5"/>
    <w:rsid w:val="006A1F59"/>
    <w:rsid w:val="006A3392"/>
    <w:rsid w:val="006A4D02"/>
    <w:rsid w:val="006A5F47"/>
    <w:rsid w:val="006A6EA6"/>
    <w:rsid w:val="006B36E0"/>
    <w:rsid w:val="006B57D6"/>
    <w:rsid w:val="006B6FE8"/>
    <w:rsid w:val="006C37DD"/>
    <w:rsid w:val="006C6E2A"/>
    <w:rsid w:val="006C6FC3"/>
    <w:rsid w:val="006D01D6"/>
    <w:rsid w:val="006D25AE"/>
    <w:rsid w:val="006D2DD0"/>
    <w:rsid w:val="006D4580"/>
    <w:rsid w:val="006D70FF"/>
    <w:rsid w:val="006E0EB6"/>
    <w:rsid w:val="006E11F4"/>
    <w:rsid w:val="006E16AF"/>
    <w:rsid w:val="006E3A42"/>
    <w:rsid w:val="006E3CAE"/>
    <w:rsid w:val="006F0EDF"/>
    <w:rsid w:val="006F2E5F"/>
    <w:rsid w:val="006F32FE"/>
    <w:rsid w:val="006F5AF3"/>
    <w:rsid w:val="006F7583"/>
    <w:rsid w:val="006F798E"/>
    <w:rsid w:val="006F7DA7"/>
    <w:rsid w:val="00705E4B"/>
    <w:rsid w:val="0071799D"/>
    <w:rsid w:val="00721113"/>
    <w:rsid w:val="0072172A"/>
    <w:rsid w:val="00722C4A"/>
    <w:rsid w:val="00724174"/>
    <w:rsid w:val="00724AE1"/>
    <w:rsid w:val="00724E07"/>
    <w:rsid w:val="00725EC9"/>
    <w:rsid w:val="00732EBD"/>
    <w:rsid w:val="00736A6C"/>
    <w:rsid w:val="0073722F"/>
    <w:rsid w:val="007379C6"/>
    <w:rsid w:val="00740C51"/>
    <w:rsid w:val="007411C7"/>
    <w:rsid w:val="007423C1"/>
    <w:rsid w:val="00742988"/>
    <w:rsid w:val="007431A1"/>
    <w:rsid w:val="007462B2"/>
    <w:rsid w:val="007465E1"/>
    <w:rsid w:val="007478EE"/>
    <w:rsid w:val="007501C0"/>
    <w:rsid w:val="00752C54"/>
    <w:rsid w:val="007544AF"/>
    <w:rsid w:val="007628FA"/>
    <w:rsid w:val="00762FC2"/>
    <w:rsid w:val="007659F5"/>
    <w:rsid w:val="00770E2D"/>
    <w:rsid w:val="00773E66"/>
    <w:rsid w:val="00774619"/>
    <w:rsid w:val="00780825"/>
    <w:rsid w:val="00781F33"/>
    <w:rsid w:val="00782AA3"/>
    <w:rsid w:val="00784CB7"/>
    <w:rsid w:val="007855DE"/>
    <w:rsid w:val="00786044"/>
    <w:rsid w:val="0078796E"/>
    <w:rsid w:val="00791B9B"/>
    <w:rsid w:val="007928DC"/>
    <w:rsid w:val="00795C69"/>
    <w:rsid w:val="00795C6C"/>
    <w:rsid w:val="00796B1F"/>
    <w:rsid w:val="007A2223"/>
    <w:rsid w:val="007B2560"/>
    <w:rsid w:val="007B2E07"/>
    <w:rsid w:val="007B3D6B"/>
    <w:rsid w:val="007B4F3C"/>
    <w:rsid w:val="007B529A"/>
    <w:rsid w:val="007B5314"/>
    <w:rsid w:val="007B5D94"/>
    <w:rsid w:val="007C160C"/>
    <w:rsid w:val="007C1685"/>
    <w:rsid w:val="007C57D5"/>
    <w:rsid w:val="007C58A6"/>
    <w:rsid w:val="007C6253"/>
    <w:rsid w:val="007C632E"/>
    <w:rsid w:val="007C7D6F"/>
    <w:rsid w:val="007D2ACC"/>
    <w:rsid w:val="007D5904"/>
    <w:rsid w:val="007E4E94"/>
    <w:rsid w:val="007E793A"/>
    <w:rsid w:val="007F014E"/>
    <w:rsid w:val="007F5CCF"/>
    <w:rsid w:val="00801134"/>
    <w:rsid w:val="00805AEA"/>
    <w:rsid w:val="00806AAA"/>
    <w:rsid w:val="008115B8"/>
    <w:rsid w:val="00814E67"/>
    <w:rsid w:val="00820C3B"/>
    <w:rsid w:val="00820E99"/>
    <w:rsid w:val="00826DC4"/>
    <w:rsid w:val="0083290C"/>
    <w:rsid w:val="00833E40"/>
    <w:rsid w:val="00835ABB"/>
    <w:rsid w:val="008420C0"/>
    <w:rsid w:val="00845527"/>
    <w:rsid w:val="00845C59"/>
    <w:rsid w:val="008517A6"/>
    <w:rsid w:val="00852B00"/>
    <w:rsid w:val="00860C99"/>
    <w:rsid w:val="00867818"/>
    <w:rsid w:val="00871574"/>
    <w:rsid w:val="00872125"/>
    <w:rsid w:val="0087292D"/>
    <w:rsid w:val="008764E4"/>
    <w:rsid w:val="00876637"/>
    <w:rsid w:val="00880D1F"/>
    <w:rsid w:val="00881CA8"/>
    <w:rsid w:val="008824CB"/>
    <w:rsid w:val="008876E4"/>
    <w:rsid w:val="008902BC"/>
    <w:rsid w:val="00892B85"/>
    <w:rsid w:val="00892DF6"/>
    <w:rsid w:val="008A1172"/>
    <w:rsid w:val="008A34E7"/>
    <w:rsid w:val="008A5B2E"/>
    <w:rsid w:val="008A6C25"/>
    <w:rsid w:val="008A7496"/>
    <w:rsid w:val="008A7577"/>
    <w:rsid w:val="008A7D29"/>
    <w:rsid w:val="008B0481"/>
    <w:rsid w:val="008B36A4"/>
    <w:rsid w:val="008B372E"/>
    <w:rsid w:val="008B3733"/>
    <w:rsid w:val="008B3F9A"/>
    <w:rsid w:val="008B52AF"/>
    <w:rsid w:val="008B5EEF"/>
    <w:rsid w:val="008C1219"/>
    <w:rsid w:val="008C5564"/>
    <w:rsid w:val="008C702C"/>
    <w:rsid w:val="008D1CAC"/>
    <w:rsid w:val="008E7D6C"/>
    <w:rsid w:val="008F1CF9"/>
    <w:rsid w:val="008F537A"/>
    <w:rsid w:val="00901C3F"/>
    <w:rsid w:val="009029E8"/>
    <w:rsid w:val="00902E80"/>
    <w:rsid w:val="00903ECC"/>
    <w:rsid w:val="00905D49"/>
    <w:rsid w:val="009118B9"/>
    <w:rsid w:val="009125EE"/>
    <w:rsid w:val="00914DF9"/>
    <w:rsid w:val="009201E5"/>
    <w:rsid w:val="00921FDF"/>
    <w:rsid w:val="009230AE"/>
    <w:rsid w:val="00925A06"/>
    <w:rsid w:val="00927AF9"/>
    <w:rsid w:val="00932D05"/>
    <w:rsid w:val="00933507"/>
    <w:rsid w:val="009359B6"/>
    <w:rsid w:val="009369B1"/>
    <w:rsid w:val="009408D2"/>
    <w:rsid w:val="00943B44"/>
    <w:rsid w:val="00944570"/>
    <w:rsid w:val="009502AE"/>
    <w:rsid w:val="00955165"/>
    <w:rsid w:val="009563E8"/>
    <w:rsid w:val="00960A5A"/>
    <w:rsid w:val="0096257E"/>
    <w:rsid w:val="009625C7"/>
    <w:rsid w:val="00967160"/>
    <w:rsid w:val="00975420"/>
    <w:rsid w:val="00975AB9"/>
    <w:rsid w:val="009761FF"/>
    <w:rsid w:val="0097688B"/>
    <w:rsid w:val="009777E8"/>
    <w:rsid w:val="00980DCD"/>
    <w:rsid w:val="0098230A"/>
    <w:rsid w:val="00983934"/>
    <w:rsid w:val="00993C4A"/>
    <w:rsid w:val="00993D99"/>
    <w:rsid w:val="00995209"/>
    <w:rsid w:val="00997068"/>
    <w:rsid w:val="009A1E05"/>
    <w:rsid w:val="009A7B4C"/>
    <w:rsid w:val="009B1478"/>
    <w:rsid w:val="009B2BFB"/>
    <w:rsid w:val="009B55A9"/>
    <w:rsid w:val="009B5FF5"/>
    <w:rsid w:val="009C1B46"/>
    <w:rsid w:val="009C1DD1"/>
    <w:rsid w:val="009C2BC6"/>
    <w:rsid w:val="009C2FB5"/>
    <w:rsid w:val="009C5F6B"/>
    <w:rsid w:val="009C6178"/>
    <w:rsid w:val="009D0D08"/>
    <w:rsid w:val="009D62F2"/>
    <w:rsid w:val="009D6487"/>
    <w:rsid w:val="009E1885"/>
    <w:rsid w:val="009E2283"/>
    <w:rsid w:val="009E3D22"/>
    <w:rsid w:val="009E4521"/>
    <w:rsid w:val="009E564F"/>
    <w:rsid w:val="009E5777"/>
    <w:rsid w:val="009F266F"/>
    <w:rsid w:val="009F2ABF"/>
    <w:rsid w:val="009F380D"/>
    <w:rsid w:val="00A03AD6"/>
    <w:rsid w:val="00A05020"/>
    <w:rsid w:val="00A055BB"/>
    <w:rsid w:val="00A06213"/>
    <w:rsid w:val="00A07CD8"/>
    <w:rsid w:val="00A12916"/>
    <w:rsid w:val="00A1406C"/>
    <w:rsid w:val="00A1667E"/>
    <w:rsid w:val="00A2016F"/>
    <w:rsid w:val="00A21A48"/>
    <w:rsid w:val="00A23A29"/>
    <w:rsid w:val="00A244A0"/>
    <w:rsid w:val="00A2627B"/>
    <w:rsid w:val="00A27E68"/>
    <w:rsid w:val="00A3018E"/>
    <w:rsid w:val="00A34735"/>
    <w:rsid w:val="00A37FC5"/>
    <w:rsid w:val="00A43478"/>
    <w:rsid w:val="00A4433F"/>
    <w:rsid w:val="00A446C5"/>
    <w:rsid w:val="00A5302B"/>
    <w:rsid w:val="00A5378D"/>
    <w:rsid w:val="00A548BC"/>
    <w:rsid w:val="00A6004A"/>
    <w:rsid w:val="00A625DD"/>
    <w:rsid w:val="00A62B62"/>
    <w:rsid w:val="00A72B29"/>
    <w:rsid w:val="00A75D98"/>
    <w:rsid w:val="00A7725F"/>
    <w:rsid w:val="00A80D7B"/>
    <w:rsid w:val="00A810D9"/>
    <w:rsid w:val="00A81A37"/>
    <w:rsid w:val="00A83714"/>
    <w:rsid w:val="00A85685"/>
    <w:rsid w:val="00A85D11"/>
    <w:rsid w:val="00A85E8F"/>
    <w:rsid w:val="00A860B3"/>
    <w:rsid w:val="00A935C5"/>
    <w:rsid w:val="00A93730"/>
    <w:rsid w:val="00A93EC3"/>
    <w:rsid w:val="00A949DD"/>
    <w:rsid w:val="00A96611"/>
    <w:rsid w:val="00A977AF"/>
    <w:rsid w:val="00AA19CB"/>
    <w:rsid w:val="00AA19FD"/>
    <w:rsid w:val="00AA41BF"/>
    <w:rsid w:val="00AA4FA7"/>
    <w:rsid w:val="00AB611F"/>
    <w:rsid w:val="00AB71F8"/>
    <w:rsid w:val="00AB760C"/>
    <w:rsid w:val="00AC4B79"/>
    <w:rsid w:val="00AD0B6C"/>
    <w:rsid w:val="00AD11CC"/>
    <w:rsid w:val="00AD240F"/>
    <w:rsid w:val="00AD2A12"/>
    <w:rsid w:val="00AD321D"/>
    <w:rsid w:val="00AD56F3"/>
    <w:rsid w:val="00AD5CD1"/>
    <w:rsid w:val="00AD5DF2"/>
    <w:rsid w:val="00AD6A8C"/>
    <w:rsid w:val="00AD76FB"/>
    <w:rsid w:val="00AF076B"/>
    <w:rsid w:val="00AF195E"/>
    <w:rsid w:val="00AF3514"/>
    <w:rsid w:val="00AF3FCB"/>
    <w:rsid w:val="00AF44C6"/>
    <w:rsid w:val="00AF49A2"/>
    <w:rsid w:val="00AF53CA"/>
    <w:rsid w:val="00B00C40"/>
    <w:rsid w:val="00B0240B"/>
    <w:rsid w:val="00B03D0F"/>
    <w:rsid w:val="00B06890"/>
    <w:rsid w:val="00B10ABD"/>
    <w:rsid w:val="00B11747"/>
    <w:rsid w:val="00B13408"/>
    <w:rsid w:val="00B15B1D"/>
    <w:rsid w:val="00B15BEC"/>
    <w:rsid w:val="00B1605D"/>
    <w:rsid w:val="00B16876"/>
    <w:rsid w:val="00B20A06"/>
    <w:rsid w:val="00B210BB"/>
    <w:rsid w:val="00B25E55"/>
    <w:rsid w:val="00B25EEF"/>
    <w:rsid w:val="00B327D7"/>
    <w:rsid w:val="00B32A8D"/>
    <w:rsid w:val="00B34671"/>
    <w:rsid w:val="00B35444"/>
    <w:rsid w:val="00B359B2"/>
    <w:rsid w:val="00B36A52"/>
    <w:rsid w:val="00B375B7"/>
    <w:rsid w:val="00B4229D"/>
    <w:rsid w:val="00B4348F"/>
    <w:rsid w:val="00B524BB"/>
    <w:rsid w:val="00B52CFA"/>
    <w:rsid w:val="00B5641A"/>
    <w:rsid w:val="00B637A4"/>
    <w:rsid w:val="00B63D6B"/>
    <w:rsid w:val="00B63FE1"/>
    <w:rsid w:val="00B67D22"/>
    <w:rsid w:val="00B70B0D"/>
    <w:rsid w:val="00B74A63"/>
    <w:rsid w:val="00B75654"/>
    <w:rsid w:val="00B75AF4"/>
    <w:rsid w:val="00B75F59"/>
    <w:rsid w:val="00B75FA2"/>
    <w:rsid w:val="00B7644E"/>
    <w:rsid w:val="00B77349"/>
    <w:rsid w:val="00B814EC"/>
    <w:rsid w:val="00B8172D"/>
    <w:rsid w:val="00B81DE1"/>
    <w:rsid w:val="00B85302"/>
    <w:rsid w:val="00B9036C"/>
    <w:rsid w:val="00B947B7"/>
    <w:rsid w:val="00BA1987"/>
    <w:rsid w:val="00BA1BE8"/>
    <w:rsid w:val="00BA21B4"/>
    <w:rsid w:val="00BA4E2E"/>
    <w:rsid w:val="00BB2231"/>
    <w:rsid w:val="00BB30C4"/>
    <w:rsid w:val="00BB3126"/>
    <w:rsid w:val="00BB55F2"/>
    <w:rsid w:val="00BC1501"/>
    <w:rsid w:val="00BC5F89"/>
    <w:rsid w:val="00BD6460"/>
    <w:rsid w:val="00BD75B0"/>
    <w:rsid w:val="00BD79BA"/>
    <w:rsid w:val="00BE0A6E"/>
    <w:rsid w:val="00BE1845"/>
    <w:rsid w:val="00BE3462"/>
    <w:rsid w:val="00BF4F8C"/>
    <w:rsid w:val="00C0045B"/>
    <w:rsid w:val="00C029A7"/>
    <w:rsid w:val="00C14DAD"/>
    <w:rsid w:val="00C15DD7"/>
    <w:rsid w:val="00C16FD8"/>
    <w:rsid w:val="00C21C3B"/>
    <w:rsid w:val="00C22A44"/>
    <w:rsid w:val="00C278F3"/>
    <w:rsid w:val="00C30DCA"/>
    <w:rsid w:val="00C32192"/>
    <w:rsid w:val="00C35B05"/>
    <w:rsid w:val="00C40DB9"/>
    <w:rsid w:val="00C43080"/>
    <w:rsid w:val="00C4385B"/>
    <w:rsid w:val="00C44979"/>
    <w:rsid w:val="00C45602"/>
    <w:rsid w:val="00C54488"/>
    <w:rsid w:val="00C627C4"/>
    <w:rsid w:val="00C72760"/>
    <w:rsid w:val="00C7333E"/>
    <w:rsid w:val="00C737F2"/>
    <w:rsid w:val="00C73E1F"/>
    <w:rsid w:val="00C769FB"/>
    <w:rsid w:val="00C76A75"/>
    <w:rsid w:val="00C923A4"/>
    <w:rsid w:val="00C9412D"/>
    <w:rsid w:val="00C94476"/>
    <w:rsid w:val="00C95F23"/>
    <w:rsid w:val="00C965A1"/>
    <w:rsid w:val="00C97DD9"/>
    <w:rsid w:val="00CA119C"/>
    <w:rsid w:val="00CA37C7"/>
    <w:rsid w:val="00CA3F40"/>
    <w:rsid w:val="00CA4EE5"/>
    <w:rsid w:val="00CB2D55"/>
    <w:rsid w:val="00CB42A9"/>
    <w:rsid w:val="00CB68EB"/>
    <w:rsid w:val="00CB758B"/>
    <w:rsid w:val="00CC445A"/>
    <w:rsid w:val="00CC5497"/>
    <w:rsid w:val="00CC5FD5"/>
    <w:rsid w:val="00CC6F6C"/>
    <w:rsid w:val="00CD10E5"/>
    <w:rsid w:val="00CD6444"/>
    <w:rsid w:val="00CE14E4"/>
    <w:rsid w:val="00CE186D"/>
    <w:rsid w:val="00CE1BCE"/>
    <w:rsid w:val="00CE1EE1"/>
    <w:rsid w:val="00CE4FFD"/>
    <w:rsid w:val="00CE617F"/>
    <w:rsid w:val="00CE76DB"/>
    <w:rsid w:val="00CF0B65"/>
    <w:rsid w:val="00CF20CF"/>
    <w:rsid w:val="00D06F31"/>
    <w:rsid w:val="00D10D08"/>
    <w:rsid w:val="00D11FBD"/>
    <w:rsid w:val="00D12101"/>
    <w:rsid w:val="00D122D1"/>
    <w:rsid w:val="00D157D2"/>
    <w:rsid w:val="00D16E33"/>
    <w:rsid w:val="00D17EEB"/>
    <w:rsid w:val="00D21829"/>
    <w:rsid w:val="00D2289F"/>
    <w:rsid w:val="00D30E3D"/>
    <w:rsid w:val="00D3185F"/>
    <w:rsid w:val="00D31941"/>
    <w:rsid w:val="00D35298"/>
    <w:rsid w:val="00D41EBD"/>
    <w:rsid w:val="00D46CBC"/>
    <w:rsid w:val="00D517A8"/>
    <w:rsid w:val="00D51F9A"/>
    <w:rsid w:val="00D545E9"/>
    <w:rsid w:val="00D56B5D"/>
    <w:rsid w:val="00D57E1C"/>
    <w:rsid w:val="00D632CC"/>
    <w:rsid w:val="00D64D0C"/>
    <w:rsid w:val="00D66222"/>
    <w:rsid w:val="00D677D7"/>
    <w:rsid w:val="00D72BD4"/>
    <w:rsid w:val="00D74FA6"/>
    <w:rsid w:val="00D84F5B"/>
    <w:rsid w:val="00D8518A"/>
    <w:rsid w:val="00D86684"/>
    <w:rsid w:val="00D9591E"/>
    <w:rsid w:val="00D974D6"/>
    <w:rsid w:val="00DA1DD0"/>
    <w:rsid w:val="00DA1EB0"/>
    <w:rsid w:val="00DA2C39"/>
    <w:rsid w:val="00DA54F1"/>
    <w:rsid w:val="00DA5E55"/>
    <w:rsid w:val="00DB1224"/>
    <w:rsid w:val="00DB2E56"/>
    <w:rsid w:val="00DB48AC"/>
    <w:rsid w:val="00DB5C09"/>
    <w:rsid w:val="00DB65F8"/>
    <w:rsid w:val="00DC3A78"/>
    <w:rsid w:val="00DC63C1"/>
    <w:rsid w:val="00DC7D0C"/>
    <w:rsid w:val="00DD25A5"/>
    <w:rsid w:val="00DD4CFE"/>
    <w:rsid w:val="00DD5942"/>
    <w:rsid w:val="00DD6818"/>
    <w:rsid w:val="00DE0295"/>
    <w:rsid w:val="00DE1FA1"/>
    <w:rsid w:val="00DE2153"/>
    <w:rsid w:val="00DE46F1"/>
    <w:rsid w:val="00DE6AF3"/>
    <w:rsid w:val="00DF2046"/>
    <w:rsid w:val="00DF31C0"/>
    <w:rsid w:val="00DF3215"/>
    <w:rsid w:val="00DF4CF2"/>
    <w:rsid w:val="00E0006F"/>
    <w:rsid w:val="00E03D39"/>
    <w:rsid w:val="00E04675"/>
    <w:rsid w:val="00E06FAB"/>
    <w:rsid w:val="00E0779E"/>
    <w:rsid w:val="00E11F80"/>
    <w:rsid w:val="00E131AD"/>
    <w:rsid w:val="00E145F5"/>
    <w:rsid w:val="00E14CF5"/>
    <w:rsid w:val="00E14DBF"/>
    <w:rsid w:val="00E20B7D"/>
    <w:rsid w:val="00E227A9"/>
    <w:rsid w:val="00E25681"/>
    <w:rsid w:val="00E262CF"/>
    <w:rsid w:val="00E276A0"/>
    <w:rsid w:val="00E27F90"/>
    <w:rsid w:val="00E3122A"/>
    <w:rsid w:val="00E40114"/>
    <w:rsid w:val="00E4032F"/>
    <w:rsid w:val="00E41AA5"/>
    <w:rsid w:val="00E444F6"/>
    <w:rsid w:val="00E4606F"/>
    <w:rsid w:val="00E46A45"/>
    <w:rsid w:val="00E47DF1"/>
    <w:rsid w:val="00E51E40"/>
    <w:rsid w:val="00E52DFB"/>
    <w:rsid w:val="00E5546E"/>
    <w:rsid w:val="00E5647A"/>
    <w:rsid w:val="00E56800"/>
    <w:rsid w:val="00E62049"/>
    <w:rsid w:val="00E66657"/>
    <w:rsid w:val="00E66E5F"/>
    <w:rsid w:val="00E6767D"/>
    <w:rsid w:val="00E67FBB"/>
    <w:rsid w:val="00E70D0D"/>
    <w:rsid w:val="00E75062"/>
    <w:rsid w:val="00E81588"/>
    <w:rsid w:val="00E8517C"/>
    <w:rsid w:val="00E867F8"/>
    <w:rsid w:val="00E87DE3"/>
    <w:rsid w:val="00E9189D"/>
    <w:rsid w:val="00E928FE"/>
    <w:rsid w:val="00E94D4C"/>
    <w:rsid w:val="00EA68FC"/>
    <w:rsid w:val="00EB0899"/>
    <w:rsid w:val="00EB2B52"/>
    <w:rsid w:val="00EB4DCF"/>
    <w:rsid w:val="00EB6CE6"/>
    <w:rsid w:val="00EC3457"/>
    <w:rsid w:val="00EC6C30"/>
    <w:rsid w:val="00ED0C53"/>
    <w:rsid w:val="00ED3FDC"/>
    <w:rsid w:val="00ED5F58"/>
    <w:rsid w:val="00ED685E"/>
    <w:rsid w:val="00EE3FFD"/>
    <w:rsid w:val="00EE7A59"/>
    <w:rsid w:val="00EF3316"/>
    <w:rsid w:val="00F032FC"/>
    <w:rsid w:val="00F03786"/>
    <w:rsid w:val="00F042D6"/>
    <w:rsid w:val="00F04F8D"/>
    <w:rsid w:val="00F05DB2"/>
    <w:rsid w:val="00F20369"/>
    <w:rsid w:val="00F2181C"/>
    <w:rsid w:val="00F23069"/>
    <w:rsid w:val="00F26D59"/>
    <w:rsid w:val="00F31BDE"/>
    <w:rsid w:val="00F372B6"/>
    <w:rsid w:val="00F408AA"/>
    <w:rsid w:val="00F4279A"/>
    <w:rsid w:val="00F431CF"/>
    <w:rsid w:val="00F45166"/>
    <w:rsid w:val="00F45FDC"/>
    <w:rsid w:val="00F703FB"/>
    <w:rsid w:val="00F70724"/>
    <w:rsid w:val="00F74CC1"/>
    <w:rsid w:val="00F7510D"/>
    <w:rsid w:val="00F77FF3"/>
    <w:rsid w:val="00F82120"/>
    <w:rsid w:val="00F8453F"/>
    <w:rsid w:val="00F92823"/>
    <w:rsid w:val="00F9282E"/>
    <w:rsid w:val="00F9360F"/>
    <w:rsid w:val="00F93C76"/>
    <w:rsid w:val="00F945C6"/>
    <w:rsid w:val="00F961F3"/>
    <w:rsid w:val="00F97D24"/>
    <w:rsid w:val="00FA001F"/>
    <w:rsid w:val="00FA1B37"/>
    <w:rsid w:val="00FA4623"/>
    <w:rsid w:val="00FA50E0"/>
    <w:rsid w:val="00FA576A"/>
    <w:rsid w:val="00FA7D5D"/>
    <w:rsid w:val="00FB07CD"/>
    <w:rsid w:val="00FB10AA"/>
    <w:rsid w:val="00FB12E4"/>
    <w:rsid w:val="00FB42C1"/>
    <w:rsid w:val="00FC077F"/>
    <w:rsid w:val="00FC084B"/>
    <w:rsid w:val="00FC1977"/>
    <w:rsid w:val="00FC1EAC"/>
    <w:rsid w:val="00FC5354"/>
    <w:rsid w:val="00FC63D2"/>
    <w:rsid w:val="00FC7B0D"/>
    <w:rsid w:val="00FD48E5"/>
    <w:rsid w:val="00FD4B86"/>
    <w:rsid w:val="00FD5C00"/>
    <w:rsid w:val="00FE028C"/>
    <w:rsid w:val="00FE4DA1"/>
    <w:rsid w:val="00FE6851"/>
    <w:rsid w:val="00FE6A22"/>
    <w:rsid w:val="00FE73DD"/>
    <w:rsid w:val="00FF2BCE"/>
    <w:rsid w:val="00FF3B49"/>
    <w:rsid w:val="5003B897"/>
    <w:rsid w:val="500E29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1B788"/>
  <w15:docId w15:val="{0207EBE1-5FE8-48CD-9319-35D94A91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DC"/>
    <w:rPr>
      <w:sz w:val="24"/>
      <w:szCs w:val="24"/>
      <w:lang w:eastAsia="en-US"/>
    </w:rPr>
  </w:style>
  <w:style w:type="paragraph" w:styleId="Heading1">
    <w:name w:val="heading 1"/>
    <w:basedOn w:val="Normal"/>
    <w:next w:val="Normal"/>
    <w:link w:val="Heading1Char"/>
    <w:uiPriority w:val="99"/>
    <w:qFormat/>
    <w:rsid w:val="00ED3FDC"/>
    <w:pPr>
      <w:keepNext/>
      <w:outlineLvl w:val="0"/>
    </w:pPr>
    <w:rPr>
      <w:b/>
      <w:bCs/>
    </w:rPr>
  </w:style>
  <w:style w:type="paragraph" w:styleId="Heading2">
    <w:name w:val="heading 2"/>
    <w:basedOn w:val="Normal"/>
    <w:next w:val="Normal"/>
    <w:link w:val="Heading2Char"/>
    <w:semiHidden/>
    <w:unhideWhenUsed/>
    <w:qFormat/>
    <w:locked/>
    <w:rsid w:val="00673D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0B07"/>
    <w:rPr>
      <w:rFonts w:ascii="Cambria" w:eastAsia="Times New Roman" w:hAnsi="Cambria" w:cs="Times New Roman"/>
      <w:b/>
      <w:bCs/>
      <w:kern w:val="32"/>
      <w:sz w:val="32"/>
      <w:szCs w:val="32"/>
      <w:lang w:eastAsia="en-US"/>
    </w:rPr>
  </w:style>
  <w:style w:type="character" w:customStyle="1" w:styleId="Heading3Char">
    <w:name w:val="Heading 3 Char"/>
    <w:link w:val="Heading3"/>
    <w:uiPriority w:val="9"/>
    <w:semiHidden/>
    <w:rsid w:val="00EA0B07"/>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rsid w:val="00B524BB"/>
    <w:rPr>
      <w:rFonts w:ascii="Tahoma" w:hAnsi="Tahoma" w:cs="Tahoma"/>
      <w:sz w:val="16"/>
      <w:szCs w:val="16"/>
    </w:rPr>
  </w:style>
  <w:style w:type="character" w:customStyle="1" w:styleId="BalloonTextChar">
    <w:name w:val="Balloon Text Char"/>
    <w:link w:val="BalloonText"/>
    <w:uiPriority w:val="99"/>
    <w:semiHidden/>
    <w:rsid w:val="00EA0B07"/>
    <w:rPr>
      <w:sz w:val="0"/>
      <w:szCs w:val="0"/>
      <w:lang w:eastAsia="en-US"/>
    </w:rPr>
  </w:style>
  <w:style w:type="character" w:styleId="Hyperlink">
    <w:name w:val="Hyperlink"/>
    <w:uiPriority w:val="99"/>
    <w:rsid w:val="000A3CD2"/>
    <w:rPr>
      <w:rFonts w:cs="Times New Roman"/>
      <w:color w:val="0000FF"/>
      <w:u w:val="single"/>
    </w:rPr>
  </w:style>
  <w:style w:type="character" w:styleId="FollowedHyperlink">
    <w:name w:val="FollowedHyperlink"/>
    <w:uiPriority w:val="99"/>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uiPriority w:val="99"/>
    <w:rsid w:val="00CE1BCE"/>
    <w:pPr>
      <w:tabs>
        <w:tab w:val="center" w:pos="4153"/>
        <w:tab w:val="right" w:pos="8306"/>
      </w:tabs>
    </w:pPr>
  </w:style>
  <w:style w:type="character" w:customStyle="1" w:styleId="HeaderChar">
    <w:name w:val="Header Char"/>
    <w:link w:val="Header"/>
    <w:uiPriority w:val="99"/>
    <w:locked/>
    <w:rsid w:val="00A810D9"/>
    <w:rPr>
      <w:sz w:val="24"/>
      <w:lang w:eastAsia="en-US"/>
    </w:rPr>
  </w:style>
  <w:style w:type="paragraph" w:styleId="Footer">
    <w:name w:val="footer"/>
    <w:basedOn w:val="Normal"/>
    <w:link w:val="FooterChar"/>
    <w:uiPriority w:val="99"/>
    <w:rsid w:val="00CE1BCE"/>
    <w:pPr>
      <w:tabs>
        <w:tab w:val="center" w:pos="4153"/>
        <w:tab w:val="right" w:pos="8306"/>
      </w:tabs>
    </w:pPr>
  </w:style>
  <w:style w:type="character" w:customStyle="1" w:styleId="FooterChar">
    <w:name w:val="Footer Char"/>
    <w:link w:val="Footer"/>
    <w:uiPriority w:val="99"/>
    <w:locked/>
    <w:rsid w:val="00060939"/>
    <w:rPr>
      <w:sz w:val="24"/>
      <w:lang w:eastAsia="en-US"/>
    </w:rPr>
  </w:style>
  <w:style w:type="character" w:styleId="Emphasis">
    <w:name w:val="Emphasis"/>
    <w:uiPriority w:val="99"/>
    <w:qFormat/>
    <w:rsid w:val="00B16876"/>
    <w:rPr>
      <w:rFonts w:cs="Times New Roman"/>
      <w:i/>
    </w:rPr>
  </w:style>
  <w:style w:type="paragraph" w:styleId="ListParagraph">
    <w:name w:val="List Paragraph"/>
    <w:basedOn w:val="Normal"/>
    <w:uiPriority w:val="34"/>
    <w:qFormat/>
    <w:rsid w:val="00FC084B"/>
    <w:pPr>
      <w:spacing w:after="200" w:line="276" w:lineRule="auto"/>
      <w:ind w:left="720"/>
      <w:contextualSpacing/>
    </w:pPr>
    <w:rPr>
      <w:rFonts w:ascii="Calibri" w:hAnsi="Calibri"/>
      <w:sz w:val="22"/>
      <w:szCs w:val="22"/>
    </w:rPr>
  </w:style>
  <w:style w:type="character" w:styleId="Strong">
    <w:name w:val="Strong"/>
    <w:uiPriority w:val="22"/>
    <w:qFormat/>
    <w:locked/>
    <w:rsid w:val="00FC084B"/>
    <w:rPr>
      <w:rFonts w:cs="Times New Roman"/>
      <w:b/>
      <w:bCs/>
    </w:rPr>
  </w:style>
  <w:style w:type="table" w:styleId="TableGrid">
    <w:name w:val="Table Grid"/>
    <w:basedOn w:val="TableNormal"/>
    <w:rsid w:val="0067771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834A7"/>
    <w:rPr>
      <w:rFonts w:ascii="Calibri" w:eastAsia="Calibri" w:hAnsi="Calibri" w:cs="Calibri"/>
      <w:sz w:val="22"/>
      <w:szCs w:val="22"/>
    </w:rPr>
  </w:style>
  <w:style w:type="character" w:customStyle="1" w:styleId="title7">
    <w:name w:val="title7"/>
    <w:rsid w:val="002555B6"/>
    <w:rPr>
      <w:b w:val="0"/>
      <w:bCs w:val="0"/>
      <w:i w:val="0"/>
      <w:iCs w:val="0"/>
      <w:strike w:val="0"/>
      <w:dstrike w:val="0"/>
      <w:color w:val="D92E10"/>
      <w:sz w:val="26"/>
      <w:szCs w:val="26"/>
      <w:u w:val="none"/>
      <w:effect w:val="none"/>
    </w:rPr>
  </w:style>
  <w:style w:type="paragraph" w:customStyle="1" w:styleId="default">
    <w:name w:val="default"/>
    <w:basedOn w:val="Normal"/>
    <w:rsid w:val="002555B6"/>
    <w:rPr>
      <w:lang w:eastAsia="en-GB"/>
    </w:rPr>
  </w:style>
  <w:style w:type="table" w:customStyle="1" w:styleId="TableGrid1">
    <w:name w:val="Table Grid1"/>
    <w:basedOn w:val="TableNormal"/>
    <w:next w:val="TableGrid"/>
    <w:uiPriority w:val="59"/>
    <w:rsid w:val="006827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975420"/>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007EA3"/>
    <w:rPr>
      <w:color w:val="605E5C"/>
      <w:shd w:val="clear" w:color="auto" w:fill="E1DFDD"/>
    </w:rPr>
  </w:style>
  <w:style w:type="character" w:styleId="UnresolvedMention">
    <w:name w:val="Unresolved Mention"/>
    <w:basedOn w:val="DefaultParagraphFont"/>
    <w:uiPriority w:val="99"/>
    <w:semiHidden/>
    <w:unhideWhenUsed/>
    <w:rsid w:val="00490B2C"/>
    <w:rPr>
      <w:color w:val="605E5C"/>
      <w:shd w:val="clear" w:color="auto" w:fill="E1DFDD"/>
    </w:rPr>
  </w:style>
  <w:style w:type="character" w:customStyle="1" w:styleId="Heading2Char">
    <w:name w:val="Heading 2 Char"/>
    <w:basedOn w:val="DefaultParagraphFont"/>
    <w:link w:val="Heading2"/>
    <w:semiHidden/>
    <w:rsid w:val="00673DCC"/>
    <w:rPr>
      <w:rFonts w:asciiTheme="majorHAnsi" w:eastAsiaTheme="majorEastAsia" w:hAnsiTheme="majorHAnsi" w:cstheme="majorBidi"/>
      <w:color w:val="365F91" w:themeColor="accent1" w:themeShade="BF"/>
      <w:sz w:val="26"/>
      <w:szCs w:val="26"/>
      <w:lang w:eastAsia="en-US"/>
    </w:rPr>
  </w:style>
  <w:style w:type="paragraph" w:customStyle="1" w:styleId="xmsonormal">
    <w:name w:val="x_msonormal"/>
    <w:basedOn w:val="Normal"/>
    <w:rsid w:val="006A1BC5"/>
    <w:rPr>
      <w:rFonts w:ascii="Calibri" w:eastAsiaTheme="minorHAnsi" w:hAnsi="Calibri" w:cs="Calibri"/>
      <w:sz w:val="22"/>
      <w:szCs w:val="22"/>
      <w:lang w:eastAsia="en-GB"/>
    </w:rPr>
  </w:style>
  <w:style w:type="paragraph" w:customStyle="1" w:styleId="paragraph">
    <w:name w:val="paragraph"/>
    <w:basedOn w:val="Normal"/>
    <w:rsid w:val="00A977AF"/>
    <w:pPr>
      <w:spacing w:before="100" w:beforeAutospacing="1" w:after="100" w:afterAutospacing="1"/>
    </w:pPr>
    <w:rPr>
      <w:lang w:eastAsia="en-GB"/>
    </w:rPr>
  </w:style>
  <w:style w:type="character" w:customStyle="1" w:styleId="normaltextrun">
    <w:name w:val="normaltextrun"/>
    <w:basedOn w:val="DefaultParagraphFont"/>
    <w:rsid w:val="00A977AF"/>
  </w:style>
  <w:style w:type="character" w:customStyle="1" w:styleId="eop">
    <w:name w:val="eop"/>
    <w:basedOn w:val="DefaultParagraphFont"/>
    <w:rsid w:val="00A977AF"/>
  </w:style>
  <w:style w:type="table" w:customStyle="1" w:styleId="TableGrid2">
    <w:name w:val="Table Grid2"/>
    <w:basedOn w:val="TableNormal"/>
    <w:next w:val="TableGrid"/>
    <w:uiPriority w:val="59"/>
    <w:rsid w:val="00AD5C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locked/>
    <w:rsid w:val="002E049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E0497"/>
    <w:rPr>
      <w:rFonts w:asciiTheme="minorHAnsi" w:eastAsiaTheme="minorEastAsia" w:hAnsiTheme="minorHAnsi" w:cstheme="minorBidi"/>
      <w:color w:val="5A5A5A" w:themeColor="text1" w:themeTint="A5"/>
      <w:spacing w:val="15"/>
      <w:sz w:val="22"/>
      <w:szCs w:val="22"/>
      <w:lang w:eastAsia="en-US"/>
    </w:rPr>
  </w:style>
  <w:style w:type="paragraph" w:styleId="CommentText">
    <w:name w:val="annotation text"/>
    <w:basedOn w:val="Normal"/>
    <w:link w:val="CommentTextChar"/>
    <w:uiPriority w:val="99"/>
    <w:semiHidden/>
    <w:unhideWhenUsed/>
    <w:rsid w:val="00CA3F40"/>
    <w:rPr>
      <w:sz w:val="20"/>
      <w:szCs w:val="20"/>
    </w:rPr>
  </w:style>
  <w:style w:type="character" w:customStyle="1" w:styleId="CommentTextChar">
    <w:name w:val="Comment Text Char"/>
    <w:basedOn w:val="DefaultParagraphFont"/>
    <w:link w:val="CommentText"/>
    <w:uiPriority w:val="99"/>
    <w:semiHidden/>
    <w:rsid w:val="00CA3F40"/>
    <w:rPr>
      <w:lang w:eastAsia="en-US"/>
    </w:rPr>
  </w:style>
  <w:style w:type="character" w:customStyle="1" w:styleId="ui-provider">
    <w:name w:val="ui-provider"/>
    <w:basedOn w:val="DefaultParagraphFont"/>
    <w:rsid w:val="004B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272">
      <w:bodyDiv w:val="1"/>
      <w:marLeft w:val="0"/>
      <w:marRight w:val="0"/>
      <w:marTop w:val="0"/>
      <w:marBottom w:val="0"/>
      <w:divBdr>
        <w:top w:val="none" w:sz="0" w:space="0" w:color="auto"/>
        <w:left w:val="none" w:sz="0" w:space="0" w:color="auto"/>
        <w:bottom w:val="none" w:sz="0" w:space="0" w:color="auto"/>
        <w:right w:val="none" w:sz="0" w:space="0" w:color="auto"/>
      </w:divBdr>
      <w:divsChild>
        <w:div w:id="904923133">
          <w:marLeft w:val="0"/>
          <w:marRight w:val="0"/>
          <w:marTop w:val="0"/>
          <w:marBottom w:val="0"/>
          <w:divBdr>
            <w:top w:val="none" w:sz="0" w:space="0" w:color="auto"/>
            <w:left w:val="none" w:sz="0" w:space="0" w:color="auto"/>
            <w:bottom w:val="none" w:sz="0" w:space="0" w:color="auto"/>
            <w:right w:val="none" w:sz="0" w:space="0" w:color="auto"/>
          </w:divBdr>
          <w:divsChild>
            <w:div w:id="794375476">
              <w:marLeft w:val="0"/>
              <w:marRight w:val="0"/>
              <w:marTop w:val="0"/>
              <w:marBottom w:val="0"/>
              <w:divBdr>
                <w:top w:val="none" w:sz="0" w:space="0" w:color="auto"/>
                <w:left w:val="none" w:sz="0" w:space="0" w:color="auto"/>
                <w:bottom w:val="none" w:sz="0" w:space="0" w:color="auto"/>
                <w:right w:val="none" w:sz="0" w:space="0" w:color="auto"/>
              </w:divBdr>
            </w:div>
            <w:div w:id="10234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94">
      <w:bodyDiv w:val="1"/>
      <w:marLeft w:val="0"/>
      <w:marRight w:val="0"/>
      <w:marTop w:val="0"/>
      <w:marBottom w:val="0"/>
      <w:divBdr>
        <w:top w:val="none" w:sz="0" w:space="0" w:color="auto"/>
        <w:left w:val="none" w:sz="0" w:space="0" w:color="auto"/>
        <w:bottom w:val="none" w:sz="0" w:space="0" w:color="auto"/>
        <w:right w:val="none" w:sz="0" w:space="0" w:color="auto"/>
      </w:divBdr>
    </w:div>
    <w:div w:id="21177735">
      <w:bodyDiv w:val="1"/>
      <w:marLeft w:val="0"/>
      <w:marRight w:val="0"/>
      <w:marTop w:val="0"/>
      <w:marBottom w:val="0"/>
      <w:divBdr>
        <w:top w:val="none" w:sz="0" w:space="0" w:color="auto"/>
        <w:left w:val="none" w:sz="0" w:space="0" w:color="auto"/>
        <w:bottom w:val="none" w:sz="0" w:space="0" w:color="auto"/>
        <w:right w:val="none" w:sz="0" w:space="0" w:color="auto"/>
      </w:divBdr>
    </w:div>
    <w:div w:id="50155621">
      <w:bodyDiv w:val="1"/>
      <w:marLeft w:val="0"/>
      <w:marRight w:val="0"/>
      <w:marTop w:val="0"/>
      <w:marBottom w:val="0"/>
      <w:divBdr>
        <w:top w:val="none" w:sz="0" w:space="0" w:color="auto"/>
        <w:left w:val="none" w:sz="0" w:space="0" w:color="auto"/>
        <w:bottom w:val="none" w:sz="0" w:space="0" w:color="auto"/>
        <w:right w:val="none" w:sz="0" w:space="0" w:color="auto"/>
      </w:divBdr>
    </w:div>
    <w:div w:id="51975093">
      <w:bodyDiv w:val="1"/>
      <w:marLeft w:val="0"/>
      <w:marRight w:val="0"/>
      <w:marTop w:val="0"/>
      <w:marBottom w:val="0"/>
      <w:divBdr>
        <w:top w:val="none" w:sz="0" w:space="0" w:color="auto"/>
        <w:left w:val="none" w:sz="0" w:space="0" w:color="auto"/>
        <w:bottom w:val="none" w:sz="0" w:space="0" w:color="auto"/>
        <w:right w:val="none" w:sz="0" w:space="0" w:color="auto"/>
      </w:divBdr>
    </w:div>
    <w:div w:id="148786946">
      <w:bodyDiv w:val="1"/>
      <w:marLeft w:val="0"/>
      <w:marRight w:val="0"/>
      <w:marTop w:val="0"/>
      <w:marBottom w:val="0"/>
      <w:divBdr>
        <w:top w:val="none" w:sz="0" w:space="0" w:color="auto"/>
        <w:left w:val="none" w:sz="0" w:space="0" w:color="auto"/>
        <w:bottom w:val="none" w:sz="0" w:space="0" w:color="auto"/>
        <w:right w:val="none" w:sz="0" w:space="0" w:color="auto"/>
      </w:divBdr>
    </w:div>
    <w:div w:id="190531620">
      <w:bodyDiv w:val="1"/>
      <w:marLeft w:val="0"/>
      <w:marRight w:val="0"/>
      <w:marTop w:val="0"/>
      <w:marBottom w:val="0"/>
      <w:divBdr>
        <w:top w:val="none" w:sz="0" w:space="0" w:color="auto"/>
        <w:left w:val="none" w:sz="0" w:space="0" w:color="auto"/>
        <w:bottom w:val="none" w:sz="0" w:space="0" w:color="auto"/>
        <w:right w:val="none" w:sz="0" w:space="0" w:color="auto"/>
      </w:divBdr>
    </w:div>
    <w:div w:id="392435957">
      <w:bodyDiv w:val="1"/>
      <w:marLeft w:val="0"/>
      <w:marRight w:val="0"/>
      <w:marTop w:val="0"/>
      <w:marBottom w:val="0"/>
      <w:divBdr>
        <w:top w:val="none" w:sz="0" w:space="0" w:color="auto"/>
        <w:left w:val="none" w:sz="0" w:space="0" w:color="auto"/>
        <w:bottom w:val="none" w:sz="0" w:space="0" w:color="auto"/>
        <w:right w:val="none" w:sz="0" w:space="0" w:color="auto"/>
      </w:divBdr>
    </w:div>
    <w:div w:id="399862132">
      <w:bodyDiv w:val="1"/>
      <w:marLeft w:val="0"/>
      <w:marRight w:val="0"/>
      <w:marTop w:val="0"/>
      <w:marBottom w:val="0"/>
      <w:divBdr>
        <w:top w:val="none" w:sz="0" w:space="0" w:color="auto"/>
        <w:left w:val="none" w:sz="0" w:space="0" w:color="auto"/>
        <w:bottom w:val="none" w:sz="0" w:space="0" w:color="auto"/>
        <w:right w:val="none" w:sz="0" w:space="0" w:color="auto"/>
      </w:divBdr>
    </w:div>
    <w:div w:id="420686739">
      <w:bodyDiv w:val="1"/>
      <w:marLeft w:val="0"/>
      <w:marRight w:val="0"/>
      <w:marTop w:val="0"/>
      <w:marBottom w:val="0"/>
      <w:divBdr>
        <w:top w:val="none" w:sz="0" w:space="0" w:color="auto"/>
        <w:left w:val="none" w:sz="0" w:space="0" w:color="auto"/>
        <w:bottom w:val="none" w:sz="0" w:space="0" w:color="auto"/>
        <w:right w:val="none" w:sz="0" w:space="0" w:color="auto"/>
      </w:divBdr>
    </w:div>
    <w:div w:id="440609589">
      <w:bodyDiv w:val="1"/>
      <w:marLeft w:val="0"/>
      <w:marRight w:val="0"/>
      <w:marTop w:val="0"/>
      <w:marBottom w:val="0"/>
      <w:divBdr>
        <w:top w:val="none" w:sz="0" w:space="0" w:color="auto"/>
        <w:left w:val="none" w:sz="0" w:space="0" w:color="auto"/>
        <w:bottom w:val="none" w:sz="0" w:space="0" w:color="auto"/>
        <w:right w:val="none" w:sz="0" w:space="0" w:color="auto"/>
      </w:divBdr>
    </w:div>
    <w:div w:id="495417666">
      <w:bodyDiv w:val="1"/>
      <w:marLeft w:val="0"/>
      <w:marRight w:val="0"/>
      <w:marTop w:val="0"/>
      <w:marBottom w:val="0"/>
      <w:divBdr>
        <w:top w:val="none" w:sz="0" w:space="0" w:color="auto"/>
        <w:left w:val="none" w:sz="0" w:space="0" w:color="auto"/>
        <w:bottom w:val="none" w:sz="0" w:space="0" w:color="auto"/>
        <w:right w:val="none" w:sz="0" w:space="0" w:color="auto"/>
      </w:divBdr>
      <w:divsChild>
        <w:div w:id="911043375">
          <w:marLeft w:val="0"/>
          <w:marRight w:val="0"/>
          <w:marTop w:val="480"/>
          <w:marBottom w:val="480"/>
          <w:divBdr>
            <w:top w:val="none" w:sz="0" w:space="0" w:color="auto"/>
            <w:left w:val="single" w:sz="48" w:space="12" w:color="B1B4B6"/>
            <w:bottom w:val="none" w:sz="0" w:space="0" w:color="auto"/>
            <w:right w:val="none" w:sz="0" w:space="0" w:color="auto"/>
          </w:divBdr>
        </w:div>
      </w:divsChild>
    </w:div>
    <w:div w:id="527765592">
      <w:bodyDiv w:val="1"/>
      <w:marLeft w:val="0"/>
      <w:marRight w:val="0"/>
      <w:marTop w:val="0"/>
      <w:marBottom w:val="0"/>
      <w:divBdr>
        <w:top w:val="none" w:sz="0" w:space="0" w:color="auto"/>
        <w:left w:val="none" w:sz="0" w:space="0" w:color="auto"/>
        <w:bottom w:val="none" w:sz="0" w:space="0" w:color="auto"/>
        <w:right w:val="none" w:sz="0" w:space="0" w:color="auto"/>
      </w:divBdr>
    </w:div>
    <w:div w:id="546142136">
      <w:bodyDiv w:val="1"/>
      <w:marLeft w:val="0"/>
      <w:marRight w:val="0"/>
      <w:marTop w:val="0"/>
      <w:marBottom w:val="0"/>
      <w:divBdr>
        <w:top w:val="none" w:sz="0" w:space="0" w:color="auto"/>
        <w:left w:val="none" w:sz="0" w:space="0" w:color="auto"/>
        <w:bottom w:val="none" w:sz="0" w:space="0" w:color="auto"/>
        <w:right w:val="none" w:sz="0" w:space="0" w:color="auto"/>
      </w:divBdr>
    </w:div>
    <w:div w:id="573777446">
      <w:bodyDiv w:val="1"/>
      <w:marLeft w:val="0"/>
      <w:marRight w:val="0"/>
      <w:marTop w:val="0"/>
      <w:marBottom w:val="0"/>
      <w:divBdr>
        <w:top w:val="none" w:sz="0" w:space="0" w:color="auto"/>
        <w:left w:val="none" w:sz="0" w:space="0" w:color="auto"/>
        <w:bottom w:val="none" w:sz="0" w:space="0" w:color="auto"/>
        <w:right w:val="none" w:sz="0" w:space="0" w:color="auto"/>
      </w:divBdr>
    </w:div>
    <w:div w:id="588122905">
      <w:bodyDiv w:val="1"/>
      <w:marLeft w:val="0"/>
      <w:marRight w:val="0"/>
      <w:marTop w:val="0"/>
      <w:marBottom w:val="0"/>
      <w:divBdr>
        <w:top w:val="none" w:sz="0" w:space="0" w:color="auto"/>
        <w:left w:val="none" w:sz="0" w:space="0" w:color="auto"/>
        <w:bottom w:val="none" w:sz="0" w:space="0" w:color="auto"/>
        <w:right w:val="none" w:sz="0" w:space="0" w:color="auto"/>
      </w:divBdr>
    </w:div>
    <w:div w:id="618953654">
      <w:bodyDiv w:val="1"/>
      <w:marLeft w:val="0"/>
      <w:marRight w:val="0"/>
      <w:marTop w:val="0"/>
      <w:marBottom w:val="0"/>
      <w:divBdr>
        <w:top w:val="none" w:sz="0" w:space="0" w:color="auto"/>
        <w:left w:val="none" w:sz="0" w:space="0" w:color="auto"/>
        <w:bottom w:val="none" w:sz="0" w:space="0" w:color="auto"/>
        <w:right w:val="none" w:sz="0" w:space="0" w:color="auto"/>
      </w:divBdr>
      <w:divsChild>
        <w:div w:id="500046199">
          <w:marLeft w:val="0"/>
          <w:marRight w:val="0"/>
          <w:marTop w:val="0"/>
          <w:marBottom w:val="0"/>
          <w:divBdr>
            <w:top w:val="none" w:sz="0" w:space="0" w:color="auto"/>
            <w:left w:val="none" w:sz="0" w:space="0" w:color="auto"/>
            <w:bottom w:val="none" w:sz="0" w:space="0" w:color="auto"/>
            <w:right w:val="none" w:sz="0" w:space="0" w:color="auto"/>
          </w:divBdr>
        </w:div>
        <w:div w:id="1827739964">
          <w:marLeft w:val="0"/>
          <w:marRight w:val="0"/>
          <w:marTop w:val="0"/>
          <w:marBottom w:val="0"/>
          <w:divBdr>
            <w:top w:val="none" w:sz="0" w:space="0" w:color="auto"/>
            <w:left w:val="none" w:sz="0" w:space="0" w:color="auto"/>
            <w:bottom w:val="none" w:sz="0" w:space="0" w:color="auto"/>
            <w:right w:val="none" w:sz="0" w:space="0" w:color="auto"/>
          </w:divBdr>
        </w:div>
      </w:divsChild>
    </w:div>
    <w:div w:id="626206013">
      <w:bodyDiv w:val="1"/>
      <w:marLeft w:val="0"/>
      <w:marRight w:val="0"/>
      <w:marTop w:val="0"/>
      <w:marBottom w:val="0"/>
      <w:divBdr>
        <w:top w:val="none" w:sz="0" w:space="0" w:color="auto"/>
        <w:left w:val="none" w:sz="0" w:space="0" w:color="auto"/>
        <w:bottom w:val="none" w:sz="0" w:space="0" w:color="auto"/>
        <w:right w:val="none" w:sz="0" w:space="0" w:color="auto"/>
      </w:divBdr>
    </w:div>
    <w:div w:id="679897579">
      <w:bodyDiv w:val="1"/>
      <w:marLeft w:val="0"/>
      <w:marRight w:val="0"/>
      <w:marTop w:val="0"/>
      <w:marBottom w:val="0"/>
      <w:divBdr>
        <w:top w:val="none" w:sz="0" w:space="0" w:color="auto"/>
        <w:left w:val="none" w:sz="0" w:space="0" w:color="auto"/>
        <w:bottom w:val="none" w:sz="0" w:space="0" w:color="auto"/>
        <w:right w:val="none" w:sz="0" w:space="0" w:color="auto"/>
      </w:divBdr>
    </w:div>
    <w:div w:id="721518427">
      <w:bodyDiv w:val="1"/>
      <w:marLeft w:val="0"/>
      <w:marRight w:val="0"/>
      <w:marTop w:val="0"/>
      <w:marBottom w:val="0"/>
      <w:divBdr>
        <w:top w:val="none" w:sz="0" w:space="0" w:color="auto"/>
        <w:left w:val="none" w:sz="0" w:space="0" w:color="auto"/>
        <w:bottom w:val="none" w:sz="0" w:space="0" w:color="auto"/>
        <w:right w:val="none" w:sz="0" w:space="0" w:color="auto"/>
      </w:divBdr>
    </w:div>
    <w:div w:id="724722635">
      <w:bodyDiv w:val="1"/>
      <w:marLeft w:val="0"/>
      <w:marRight w:val="0"/>
      <w:marTop w:val="0"/>
      <w:marBottom w:val="0"/>
      <w:divBdr>
        <w:top w:val="none" w:sz="0" w:space="0" w:color="auto"/>
        <w:left w:val="none" w:sz="0" w:space="0" w:color="auto"/>
        <w:bottom w:val="none" w:sz="0" w:space="0" w:color="auto"/>
        <w:right w:val="none" w:sz="0" w:space="0" w:color="auto"/>
      </w:divBdr>
    </w:div>
    <w:div w:id="798493441">
      <w:bodyDiv w:val="1"/>
      <w:marLeft w:val="0"/>
      <w:marRight w:val="0"/>
      <w:marTop w:val="0"/>
      <w:marBottom w:val="0"/>
      <w:divBdr>
        <w:top w:val="none" w:sz="0" w:space="0" w:color="auto"/>
        <w:left w:val="none" w:sz="0" w:space="0" w:color="auto"/>
        <w:bottom w:val="none" w:sz="0" w:space="0" w:color="auto"/>
        <w:right w:val="none" w:sz="0" w:space="0" w:color="auto"/>
      </w:divBdr>
    </w:div>
    <w:div w:id="899250477">
      <w:bodyDiv w:val="1"/>
      <w:marLeft w:val="0"/>
      <w:marRight w:val="0"/>
      <w:marTop w:val="0"/>
      <w:marBottom w:val="0"/>
      <w:divBdr>
        <w:top w:val="none" w:sz="0" w:space="0" w:color="auto"/>
        <w:left w:val="none" w:sz="0" w:space="0" w:color="auto"/>
        <w:bottom w:val="none" w:sz="0" w:space="0" w:color="auto"/>
        <w:right w:val="none" w:sz="0" w:space="0" w:color="auto"/>
      </w:divBdr>
    </w:div>
    <w:div w:id="1001353304">
      <w:bodyDiv w:val="1"/>
      <w:marLeft w:val="0"/>
      <w:marRight w:val="0"/>
      <w:marTop w:val="0"/>
      <w:marBottom w:val="0"/>
      <w:divBdr>
        <w:top w:val="none" w:sz="0" w:space="0" w:color="auto"/>
        <w:left w:val="none" w:sz="0" w:space="0" w:color="auto"/>
        <w:bottom w:val="none" w:sz="0" w:space="0" w:color="auto"/>
        <w:right w:val="none" w:sz="0" w:space="0" w:color="auto"/>
      </w:divBdr>
    </w:div>
    <w:div w:id="1028676927">
      <w:bodyDiv w:val="1"/>
      <w:marLeft w:val="0"/>
      <w:marRight w:val="0"/>
      <w:marTop w:val="0"/>
      <w:marBottom w:val="0"/>
      <w:divBdr>
        <w:top w:val="none" w:sz="0" w:space="0" w:color="auto"/>
        <w:left w:val="none" w:sz="0" w:space="0" w:color="auto"/>
        <w:bottom w:val="none" w:sz="0" w:space="0" w:color="auto"/>
        <w:right w:val="none" w:sz="0" w:space="0" w:color="auto"/>
      </w:divBdr>
    </w:div>
    <w:div w:id="1040401395">
      <w:bodyDiv w:val="1"/>
      <w:marLeft w:val="0"/>
      <w:marRight w:val="0"/>
      <w:marTop w:val="0"/>
      <w:marBottom w:val="0"/>
      <w:divBdr>
        <w:top w:val="none" w:sz="0" w:space="0" w:color="auto"/>
        <w:left w:val="none" w:sz="0" w:space="0" w:color="auto"/>
        <w:bottom w:val="none" w:sz="0" w:space="0" w:color="auto"/>
        <w:right w:val="none" w:sz="0" w:space="0" w:color="auto"/>
      </w:divBdr>
    </w:div>
    <w:div w:id="1049375478">
      <w:bodyDiv w:val="1"/>
      <w:marLeft w:val="0"/>
      <w:marRight w:val="0"/>
      <w:marTop w:val="0"/>
      <w:marBottom w:val="0"/>
      <w:divBdr>
        <w:top w:val="none" w:sz="0" w:space="0" w:color="auto"/>
        <w:left w:val="none" w:sz="0" w:space="0" w:color="auto"/>
        <w:bottom w:val="none" w:sz="0" w:space="0" w:color="auto"/>
        <w:right w:val="none" w:sz="0" w:space="0" w:color="auto"/>
      </w:divBdr>
    </w:div>
    <w:div w:id="1060322956">
      <w:bodyDiv w:val="1"/>
      <w:marLeft w:val="0"/>
      <w:marRight w:val="0"/>
      <w:marTop w:val="0"/>
      <w:marBottom w:val="0"/>
      <w:divBdr>
        <w:top w:val="none" w:sz="0" w:space="0" w:color="auto"/>
        <w:left w:val="none" w:sz="0" w:space="0" w:color="auto"/>
        <w:bottom w:val="none" w:sz="0" w:space="0" w:color="auto"/>
        <w:right w:val="none" w:sz="0" w:space="0" w:color="auto"/>
      </w:divBdr>
    </w:div>
    <w:div w:id="1102795641">
      <w:bodyDiv w:val="1"/>
      <w:marLeft w:val="0"/>
      <w:marRight w:val="0"/>
      <w:marTop w:val="0"/>
      <w:marBottom w:val="0"/>
      <w:divBdr>
        <w:top w:val="none" w:sz="0" w:space="0" w:color="auto"/>
        <w:left w:val="none" w:sz="0" w:space="0" w:color="auto"/>
        <w:bottom w:val="none" w:sz="0" w:space="0" w:color="auto"/>
        <w:right w:val="none" w:sz="0" w:space="0" w:color="auto"/>
      </w:divBdr>
    </w:div>
    <w:div w:id="1124470713">
      <w:bodyDiv w:val="1"/>
      <w:marLeft w:val="0"/>
      <w:marRight w:val="0"/>
      <w:marTop w:val="0"/>
      <w:marBottom w:val="0"/>
      <w:divBdr>
        <w:top w:val="none" w:sz="0" w:space="0" w:color="auto"/>
        <w:left w:val="none" w:sz="0" w:space="0" w:color="auto"/>
        <w:bottom w:val="none" w:sz="0" w:space="0" w:color="auto"/>
        <w:right w:val="none" w:sz="0" w:space="0" w:color="auto"/>
      </w:divBdr>
    </w:div>
    <w:div w:id="1144544290">
      <w:bodyDiv w:val="1"/>
      <w:marLeft w:val="0"/>
      <w:marRight w:val="0"/>
      <w:marTop w:val="0"/>
      <w:marBottom w:val="0"/>
      <w:divBdr>
        <w:top w:val="none" w:sz="0" w:space="0" w:color="auto"/>
        <w:left w:val="none" w:sz="0" w:space="0" w:color="auto"/>
        <w:bottom w:val="none" w:sz="0" w:space="0" w:color="auto"/>
        <w:right w:val="none" w:sz="0" w:space="0" w:color="auto"/>
      </w:divBdr>
    </w:div>
    <w:div w:id="1146820874">
      <w:marLeft w:val="0"/>
      <w:marRight w:val="0"/>
      <w:marTop w:val="0"/>
      <w:marBottom w:val="0"/>
      <w:divBdr>
        <w:top w:val="none" w:sz="0" w:space="0" w:color="auto"/>
        <w:left w:val="none" w:sz="0" w:space="0" w:color="auto"/>
        <w:bottom w:val="none" w:sz="0" w:space="0" w:color="auto"/>
        <w:right w:val="none" w:sz="0" w:space="0" w:color="auto"/>
      </w:divBdr>
    </w:div>
    <w:div w:id="1146820875">
      <w:marLeft w:val="0"/>
      <w:marRight w:val="0"/>
      <w:marTop w:val="0"/>
      <w:marBottom w:val="0"/>
      <w:divBdr>
        <w:top w:val="none" w:sz="0" w:space="0" w:color="auto"/>
        <w:left w:val="none" w:sz="0" w:space="0" w:color="auto"/>
        <w:bottom w:val="none" w:sz="0" w:space="0" w:color="auto"/>
        <w:right w:val="none" w:sz="0" w:space="0" w:color="auto"/>
      </w:divBdr>
    </w:div>
    <w:div w:id="1146820876">
      <w:marLeft w:val="0"/>
      <w:marRight w:val="0"/>
      <w:marTop w:val="0"/>
      <w:marBottom w:val="0"/>
      <w:divBdr>
        <w:top w:val="none" w:sz="0" w:space="0" w:color="auto"/>
        <w:left w:val="none" w:sz="0" w:space="0" w:color="auto"/>
        <w:bottom w:val="none" w:sz="0" w:space="0" w:color="auto"/>
        <w:right w:val="none" w:sz="0" w:space="0" w:color="auto"/>
      </w:divBdr>
    </w:div>
    <w:div w:id="1146820877">
      <w:marLeft w:val="0"/>
      <w:marRight w:val="0"/>
      <w:marTop w:val="0"/>
      <w:marBottom w:val="0"/>
      <w:divBdr>
        <w:top w:val="none" w:sz="0" w:space="0" w:color="auto"/>
        <w:left w:val="none" w:sz="0" w:space="0" w:color="auto"/>
        <w:bottom w:val="none" w:sz="0" w:space="0" w:color="auto"/>
        <w:right w:val="none" w:sz="0" w:space="0" w:color="auto"/>
      </w:divBdr>
    </w:div>
    <w:div w:id="1146820878">
      <w:marLeft w:val="0"/>
      <w:marRight w:val="0"/>
      <w:marTop w:val="0"/>
      <w:marBottom w:val="0"/>
      <w:divBdr>
        <w:top w:val="none" w:sz="0" w:space="0" w:color="auto"/>
        <w:left w:val="none" w:sz="0" w:space="0" w:color="auto"/>
        <w:bottom w:val="none" w:sz="0" w:space="0" w:color="auto"/>
        <w:right w:val="none" w:sz="0" w:space="0" w:color="auto"/>
      </w:divBdr>
    </w:div>
    <w:div w:id="1146820879">
      <w:marLeft w:val="0"/>
      <w:marRight w:val="0"/>
      <w:marTop w:val="0"/>
      <w:marBottom w:val="0"/>
      <w:divBdr>
        <w:top w:val="none" w:sz="0" w:space="0" w:color="auto"/>
        <w:left w:val="none" w:sz="0" w:space="0" w:color="auto"/>
        <w:bottom w:val="none" w:sz="0" w:space="0" w:color="auto"/>
        <w:right w:val="none" w:sz="0" w:space="0" w:color="auto"/>
      </w:divBdr>
    </w:div>
    <w:div w:id="1146820880">
      <w:marLeft w:val="0"/>
      <w:marRight w:val="0"/>
      <w:marTop w:val="0"/>
      <w:marBottom w:val="0"/>
      <w:divBdr>
        <w:top w:val="none" w:sz="0" w:space="0" w:color="auto"/>
        <w:left w:val="none" w:sz="0" w:space="0" w:color="auto"/>
        <w:bottom w:val="none" w:sz="0" w:space="0" w:color="auto"/>
        <w:right w:val="none" w:sz="0" w:space="0" w:color="auto"/>
      </w:divBdr>
    </w:div>
    <w:div w:id="1146820881">
      <w:marLeft w:val="0"/>
      <w:marRight w:val="0"/>
      <w:marTop w:val="0"/>
      <w:marBottom w:val="0"/>
      <w:divBdr>
        <w:top w:val="none" w:sz="0" w:space="0" w:color="auto"/>
        <w:left w:val="none" w:sz="0" w:space="0" w:color="auto"/>
        <w:bottom w:val="none" w:sz="0" w:space="0" w:color="auto"/>
        <w:right w:val="none" w:sz="0" w:space="0" w:color="auto"/>
      </w:divBdr>
    </w:div>
    <w:div w:id="1146820882">
      <w:marLeft w:val="0"/>
      <w:marRight w:val="0"/>
      <w:marTop w:val="0"/>
      <w:marBottom w:val="0"/>
      <w:divBdr>
        <w:top w:val="none" w:sz="0" w:space="0" w:color="auto"/>
        <w:left w:val="none" w:sz="0" w:space="0" w:color="auto"/>
        <w:bottom w:val="none" w:sz="0" w:space="0" w:color="auto"/>
        <w:right w:val="none" w:sz="0" w:space="0" w:color="auto"/>
      </w:divBdr>
    </w:div>
    <w:div w:id="1146820883">
      <w:marLeft w:val="0"/>
      <w:marRight w:val="0"/>
      <w:marTop w:val="0"/>
      <w:marBottom w:val="0"/>
      <w:divBdr>
        <w:top w:val="none" w:sz="0" w:space="0" w:color="auto"/>
        <w:left w:val="none" w:sz="0" w:space="0" w:color="auto"/>
        <w:bottom w:val="none" w:sz="0" w:space="0" w:color="auto"/>
        <w:right w:val="none" w:sz="0" w:space="0" w:color="auto"/>
      </w:divBdr>
    </w:div>
    <w:div w:id="1146820884">
      <w:marLeft w:val="0"/>
      <w:marRight w:val="0"/>
      <w:marTop w:val="0"/>
      <w:marBottom w:val="0"/>
      <w:divBdr>
        <w:top w:val="none" w:sz="0" w:space="0" w:color="auto"/>
        <w:left w:val="none" w:sz="0" w:space="0" w:color="auto"/>
        <w:bottom w:val="none" w:sz="0" w:space="0" w:color="auto"/>
        <w:right w:val="none" w:sz="0" w:space="0" w:color="auto"/>
      </w:divBdr>
    </w:div>
    <w:div w:id="1146820885">
      <w:marLeft w:val="0"/>
      <w:marRight w:val="0"/>
      <w:marTop w:val="0"/>
      <w:marBottom w:val="0"/>
      <w:divBdr>
        <w:top w:val="none" w:sz="0" w:space="0" w:color="auto"/>
        <w:left w:val="none" w:sz="0" w:space="0" w:color="auto"/>
        <w:bottom w:val="none" w:sz="0" w:space="0" w:color="auto"/>
        <w:right w:val="none" w:sz="0" w:space="0" w:color="auto"/>
      </w:divBdr>
    </w:div>
    <w:div w:id="1146820886">
      <w:marLeft w:val="0"/>
      <w:marRight w:val="0"/>
      <w:marTop w:val="0"/>
      <w:marBottom w:val="0"/>
      <w:divBdr>
        <w:top w:val="none" w:sz="0" w:space="0" w:color="auto"/>
        <w:left w:val="none" w:sz="0" w:space="0" w:color="auto"/>
        <w:bottom w:val="none" w:sz="0" w:space="0" w:color="auto"/>
        <w:right w:val="none" w:sz="0" w:space="0" w:color="auto"/>
      </w:divBdr>
    </w:div>
    <w:div w:id="1146820887">
      <w:marLeft w:val="0"/>
      <w:marRight w:val="0"/>
      <w:marTop w:val="0"/>
      <w:marBottom w:val="0"/>
      <w:divBdr>
        <w:top w:val="none" w:sz="0" w:space="0" w:color="auto"/>
        <w:left w:val="none" w:sz="0" w:space="0" w:color="auto"/>
        <w:bottom w:val="none" w:sz="0" w:space="0" w:color="auto"/>
        <w:right w:val="none" w:sz="0" w:space="0" w:color="auto"/>
      </w:divBdr>
    </w:div>
    <w:div w:id="1146820888">
      <w:marLeft w:val="0"/>
      <w:marRight w:val="0"/>
      <w:marTop w:val="0"/>
      <w:marBottom w:val="0"/>
      <w:divBdr>
        <w:top w:val="none" w:sz="0" w:space="0" w:color="auto"/>
        <w:left w:val="none" w:sz="0" w:space="0" w:color="auto"/>
        <w:bottom w:val="none" w:sz="0" w:space="0" w:color="auto"/>
        <w:right w:val="none" w:sz="0" w:space="0" w:color="auto"/>
      </w:divBdr>
    </w:div>
    <w:div w:id="1146820889">
      <w:marLeft w:val="0"/>
      <w:marRight w:val="0"/>
      <w:marTop w:val="0"/>
      <w:marBottom w:val="0"/>
      <w:divBdr>
        <w:top w:val="none" w:sz="0" w:space="0" w:color="auto"/>
        <w:left w:val="none" w:sz="0" w:space="0" w:color="auto"/>
        <w:bottom w:val="none" w:sz="0" w:space="0" w:color="auto"/>
        <w:right w:val="none" w:sz="0" w:space="0" w:color="auto"/>
      </w:divBdr>
    </w:div>
    <w:div w:id="1146820890">
      <w:marLeft w:val="0"/>
      <w:marRight w:val="0"/>
      <w:marTop w:val="0"/>
      <w:marBottom w:val="0"/>
      <w:divBdr>
        <w:top w:val="none" w:sz="0" w:space="0" w:color="auto"/>
        <w:left w:val="none" w:sz="0" w:space="0" w:color="auto"/>
        <w:bottom w:val="none" w:sz="0" w:space="0" w:color="auto"/>
        <w:right w:val="none" w:sz="0" w:space="0" w:color="auto"/>
      </w:divBdr>
    </w:div>
    <w:div w:id="1146820891">
      <w:marLeft w:val="0"/>
      <w:marRight w:val="0"/>
      <w:marTop w:val="0"/>
      <w:marBottom w:val="0"/>
      <w:divBdr>
        <w:top w:val="none" w:sz="0" w:space="0" w:color="auto"/>
        <w:left w:val="none" w:sz="0" w:space="0" w:color="auto"/>
        <w:bottom w:val="none" w:sz="0" w:space="0" w:color="auto"/>
        <w:right w:val="none" w:sz="0" w:space="0" w:color="auto"/>
      </w:divBdr>
    </w:div>
    <w:div w:id="1146820892">
      <w:marLeft w:val="0"/>
      <w:marRight w:val="0"/>
      <w:marTop w:val="0"/>
      <w:marBottom w:val="0"/>
      <w:divBdr>
        <w:top w:val="none" w:sz="0" w:space="0" w:color="auto"/>
        <w:left w:val="none" w:sz="0" w:space="0" w:color="auto"/>
        <w:bottom w:val="none" w:sz="0" w:space="0" w:color="auto"/>
        <w:right w:val="none" w:sz="0" w:space="0" w:color="auto"/>
      </w:divBdr>
    </w:div>
    <w:div w:id="1146820893">
      <w:marLeft w:val="0"/>
      <w:marRight w:val="0"/>
      <w:marTop w:val="0"/>
      <w:marBottom w:val="0"/>
      <w:divBdr>
        <w:top w:val="none" w:sz="0" w:space="0" w:color="auto"/>
        <w:left w:val="none" w:sz="0" w:space="0" w:color="auto"/>
        <w:bottom w:val="none" w:sz="0" w:space="0" w:color="auto"/>
        <w:right w:val="none" w:sz="0" w:space="0" w:color="auto"/>
      </w:divBdr>
    </w:div>
    <w:div w:id="1146820894">
      <w:marLeft w:val="0"/>
      <w:marRight w:val="0"/>
      <w:marTop w:val="0"/>
      <w:marBottom w:val="0"/>
      <w:divBdr>
        <w:top w:val="none" w:sz="0" w:space="0" w:color="auto"/>
        <w:left w:val="none" w:sz="0" w:space="0" w:color="auto"/>
        <w:bottom w:val="none" w:sz="0" w:space="0" w:color="auto"/>
        <w:right w:val="none" w:sz="0" w:space="0" w:color="auto"/>
      </w:divBdr>
    </w:div>
    <w:div w:id="1146820895">
      <w:marLeft w:val="0"/>
      <w:marRight w:val="0"/>
      <w:marTop w:val="0"/>
      <w:marBottom w:val="0"/>
      <w:divBdr>
        <w:top w:val="none" w:sz="0" w:space="0" w:color="auto"/>
        <w:left w:val="none" w:sz="0" w:space="0" w:color="auto"/>
        <w:bottom w:val="none" w:sz="0" w:space="0" w:color="auto"/>
        <w:right w:val="none" w:sz="0" w:space="0" w:color="auto"/>
      </w:divBdr>
    </w:div>
    <w:div w:id="1146820896">
      <w:marLeft w:val="0"/>
      <w:marRight w:val="0"/>
      <w:marTop w:val="0"/>
      <w:marBottom w:val="0"/>
      <w:divBdr>
        <w:top w:val="none" w:sz="0" w:space="0" w:color="auto"/>
        <w:left w:val="none" w:sz="0" w:space="0" w:color="auto"/>
        <w:bottom w:val="none" w:sz="0" w:space="0" w:color="auto"/>
        <w:right w:val="none" w:sz="0" w:space="0" w:color="auto"/>
      </w:divBdr>
    </w:div>
    <w:div w:id="1146820897">
      <w:marLeft w:val="0"/>
      <w:marRight w:val="0"/>
      <w:marTop w:val="0"/>
      <w:marBottom w:val="0"/>
      <w:divBdr>
        <w:top w:val="none" w:sz="0" w:space="0" w:color="auto"/>
        <w:left w:val="none" w:sz="0" w:space="0" w:color="auto"/>
        <w:bottom w:val="none" w:sz="0" w:space="0" w:color="auto"/>
        <w:right w:val="none" w:sz="0" w:space="0" w:color="auto"/>
      </w:divBdr>
    </w:div>
    <w:div w:id="1146820898">
      <w:marLeft w:val="0"/>
      <w:marRight w:val="0"/>
      <w:marTop w:val="0"/>
      <w:marBottom w:val="0"/>
      <w:divBdr>
        <w:top w:val="none" w:sz="0" w:space="0" w:color="auto"/>
        <w:left w:val="none" w:sz="0" w:space="0" w:color="auto"/>
        <w:bottom w:val="none" w:sz="0" w:space="0" w:color="auto"/>
        <w:right w:val="none" w:sz="0" w:space="0" w:color="auto"/>
      </w:divBdr>
    </w:div>
    <w:div w:id="1178500082">
      <w:bodyDiv w:val="1"/>
      <w:marLeft w:val="0"/>
      <w:marRight w:val="0"/>
      <w:marTop w:val="0"/>
      <w:marBottom w:val="0"/>
      <w:divBdr>
        <w:top w:val="none" w:sz="0" w:space="0" w:color="auto"/>
        <w:left w:val="none" w:sz="0" w:space="0" w:color="auto"/>
        <w:bottom w:val="none" w:sz="0" w:space="0" w:color="auto"/>
        <w:right w:val="none" w:sz="0" w:space="0" w:color="auto"/>
      </w:divBdr>
    </w:div>
    <w:div w:id="1217005730">
      <w:bodyDiv w:val="1"/>
      <w:marLeft w:val="0"/>
      <w:marRight w:val="0"/>
      <w:marTop w:val="0"/>
      <w:marBottom w:val="0"/>
      <w:divBdr>
        <w:top w:val="none" w:sz="0" w:space="0" w:color="auto"/>
        <w:left w:val="none" w:sz="0" w:space="0" w:color="auto"/>
        <w:bottom w:val="none" w:sz="0" w:space="0" w:color="auto"/>
        <w:right w:val="none" w:sz="0" w:space="0" w:color="auto"/>
      </w:divBdr>
    </w:div>
    <w:div w:id="1230847911">
      <w:bodyDiv w:val="1"/>
      <w:marLeft w:val="0"/>
      <w:marRight w:val="0"/>
      <w:marTop w:val="0"/>
      <w:marBottom w:val="0"/>
      <w:divBdr>
        <w:top w:val="none" w:sz="0" w:space="0" w:color="auto"/>
        <w:left w:val="none" w:sz="0" w:space="0" w:color="auto"/>
        <w:bottom w:val="none" w:sz="0" w:space="0" w:color="auto"/>
        <w:right w:val="none" w:sz="0" w:space="0" w:color="auto"/>
      </w:divBdr>
    </w:div>
    <w:div w:id="1280258994">
      <w:bodyDiv w:val="1"/>
      <w:marLeft w:val="0"/>
      <w:marRight w:val="0"/>
      <w:marTop w:val="0"/>
      <w:marBottom w:val="0"/>
      <w:divBdr>
        <w:top w:val="none" w:sz="0" w:space="0" w:color="auto"/>
        <w:left w:val="none" w:sz="0" w:space="0" w:color="auto"/>
        <w:bottom w:val="none" w:sz="0" w:space="0" w:color="auto"/>
        <w:right w:val="none" w:sz="0" w:space="0" w:color="auto"/>
      </w:divBdr>
    </w:div>
    <w:div w:id="1285581212">
      <w:bodyDiv w:val="1"/>
      <w:marLeft w:val="0"/>
      <w:marRight w:val="0"/>
      <w:marTop w:val="0"/>
      <w:marBottom w:val="0"/>
      <w:divBdr>
        <w:top w:val="none" w:sz="0" w:space="0" w:color="auto"/>
        <w:left w:val="none" w:sz="0" w:space="0" w:color="auto"/>
        <w:bottom w:val="none" w:sz="0" w:space="0" w:color="auto"/>
        <w:right w:val="none" w:sz="0" w:space="0" w:color="auto"/>
      </w:divBdr>
    </w:div>
    <w:div w:id="1299650200">
      <w:bodyDiv w:val="1"/>
      <w:marLeft w:val="0"/>
      <w:marRight w:val="0"/>
      <w:marTop w:val="0"/>
      <w:marBottom w:val="0"/>
      <w:divBdr>
        <w:top w:val="none" w:sz="0" w:space="0" w:color="auto"/>
        <w:left w:val="none" w:sz="0" w:space="0" w:color="auto"/>
        <w:bottom w:val="none" w:sz="0" w:space="0" w:color="auto"/>
        <w:right w:val="none" w:sz="0" w:space="0" w:color="auto"/>
      </w:divBdr>
    </w:div>
    <w:div w:id="1364869736">
      <w:bodyDiv w:val="1"/>
      <w:marLeft w:val="0"/>
      <w:marRight w:val="0"/>
      <w:marTop w:val="0"/>
      <w:marBottom w:val="0"/>
      <w:divBdr>
        <w:top w:val="none" w:sz="0" w:space="0" w:color="auto"/>
        <w:left w:val="none" w:sz="0" w:space="0" w:color="auto"/>
        <w:bottom w:val="none" w:sz="0" w:space="0" w:color="auto"/>
        <w:right w:val="none" w:sz="0" w:space="0" w:color="auto"/>
      </w:divBdr>
    </w:div>
    <w:div w:id="1415587059">
      <w:bodyDiv w:val="1"/>
      <w:marLeft w:val="0"/>
      <w:marRight w:val="0"/>
      <w:marTop w:val="0"/>
      <w:marBottom w:val="0"/>
      <w:divBdr>
        <w:top w:val="none" w:sz="0" w:space="0" w:color="auto"/>
        <w:left w:val="none" w:sz="0" w:space="0" w:color="auto"/>
        <w:bottom w:val="none" w:sz="0" w:space="0" w:color="auto"/>
        <w:right w:val="none" w:sz="0" w:space="0" w:color="auto"/>
      </w:divBdr>
    </w:div>
    <w:div w:id="1445536750">
      <w:bodyDiv w:val="1"/>
      <w:marLeft w:val="0"/>
      <w:marRight w:val="0"/>
      <w:marTop w:val="0"/>
      <w:marBottom w:val="0"/>
      <w:divBdr>
        <w:top w:val="none" w:sz="0" w:space="0" w:color="auto"/>
        <w:left w:val="none" w:sz="0" w:space="0" w:color="auto"/>
        <w:bottom w:val="none" w:sz="0" w:space="0" w:color="auto"/>
        <w:right w:val="none" w:sz="0" w:space="0" w:color="auto"/>
      </w:divBdr>
    </w:div>
    <w:div w:id="1465386016">
      <w:bodyDiv w:val="1"/>
      <w:marLeft w:val="0"/>
      <w:marRight w:val="0"/>
      <w:marTop w:val="0"/>
      <w:marBottom w:val="0"/>
      <w:divBdr>
        <w:top w:val="none" w:sz="0" w:space="0" w:color="auto"/>
        <w:left w:val="none" w:sz="0" w:space="0" w:color="auto"/>
        <w:bottom w:val="none" w:sz="0" w:space="0" w:color="auto"/>
        <w:right w:val="none" w:sz="0" w:space="0" w:color="auto"/>
      </w:divBdr>
    </w:div>
    <w:div w:id="1476026899">
      <w:bodyDiv w:val="1"/>
      <w:marLeft w:val="0"/>
      <w:marRight w:val="0"/>
      <w:marTop w:val="0"/>
      <w:marBottom w:val="0"/>
      <w:divBdr>
        <w:top w:val="none" w:sz="0" w:space="0" w:color="auto"/>
        <w:left w:val="none" w:sz="0" w:space="0" w:color="auto"/>
        <w:bottom w:val="none" w:sz="0" w:space="0" w:color="auto"/>
        <w:right w:val="none" w:sz="0" w:space="0" w:color="auto"/>
      </w:divBdr>
    </w:div>
    <w:div w:id="1690140558">
      <w:bodyDiv w:val="1"/>
      <w:marLeft w:val="0"/>
      <w:marRight w:val="0"/>
      <w:marTop w:val="0"/>
      <w:marBottom w:val="0"/>
      <w:divBdr>
        <w:top w:val="none" w:sz="0" w:space="0" w:color="auto"/>
        <w:left w:val="none" w:sz="0" w:space="0" w:color="auto"/>
        <w:bottom w:val="none" w:sz="0" w:space="0" w:color="auto"/>
        <w:right w:val="none" w:sz="0" w:space="0" w:color="auto"/>
      </w:divBdr>
    </w:div>
    <w:div w:id="1761678301">
      <w:bodyDiv w:val="1"/>
      <w:marLeft w:val="0"/>
      <w:marRight w:val="0"/>
      <w:marTop w:val="0"/>
      <w:marBottom w:val="0"/>
      <w:divBdr>
        <w:top w:val="none" w:sz="0" w:space="0" w:color="auto"/>
        <w:left w:val="none" w:sz="0" w:space="0" w:color="auto"/>
        <w:bottom w:val="none" w:sz="0" w:space="0" w:color="auto"/>
        <w:right w:val="none" w:sz="0" w:space="0" w:color="auto"/>
      </w:divBdr>
    </w:div>
    <w:div w:id="1764455287">
      <w:bodyDiv w:val="1"/>
      <w:marLeft w:val="0"/>
      <w:marRight w:val="0"/>
      <w:marTop w:val="0"/>
      <w:marBottom w:val="0"/>
      <w:divBdr>
        <w:top w:val="none" w:sz="0" w:space="0" w:color="auto"/>
        <w:left w:val="none" w:sz="0" w:space="0" w:color="auto"/>
        <w:bottom w:val="none" w:sz="0" w:space="0" w:color="auto"/>
        <w:right w:val="none" w:sz="0" w:space="0" w:color="auto"/>
      </w:divBdr>
    </w:div>
    <w:div w:id="1765035962">
      <w:bodyDiv w:val="1"/>
      <w:marLeft w:val="0"/>
      <w:marRight w:val="0"/>
      <w:marTop w:val="0"/>
      <w:marBottom w:val="0"/>
      <w:divBdr>
        <w:top w:val="none" w:sz="0" w:space="0" w:color="auto"/>
        <w:left w:val="none" w:sz="0" w:space="0" w:color="auto"/>
        <w:bottom w:val="none" w:sz="0" w:space="0" w:color="auto"/>
        <w:right w:val="none" w:sz="0" w:space="0" w:color="auto"/>
      </w:divBdr>
    </w:div>
    <w:div w:id="1767000318">
      <w:bodyDiv w:val="1"/>
      <w:marLeft w:val="0"/>
      <w:marRight w:val="0"/>
      <w:marTop w:val="0"/>
      <w:marBottom w:val="0"/>
      <w:divBdr>
        <w:top w:val="none" w:sz="0" w:space="0" w:color="auto"/>
        <w:left w:val="none" w:sz="0" w:space="0" w:color="auto"/>
        <w:bottom w:val="none" w:sz="0" w:space="0" w:color="auto"/>
        <w:right w:val="none" w:sz="0" w:space="0" w:color="auto"/>
      </w:divBdr>
    </w:div>
    <w:div w:id="1773865869">
      <w:bodyDiv w:val="1"/>
      <w:marLeft w:val="0"/>
      <w:marRight w:val="0"/>
      <w:marTop w:val="0"/>
      <w:marBottom w:val="0"/>
      <w:divBdr>
        <w:top w:val="none" w:sz="0" w:space="0" w:color="auto"/>
        <w:left w:val="none" w:sz="0" w:space="0" w:color="auto"/>
        <w:bottom w:val="none" w:sz="0" w:space="0" w:color="auto"/>
        <w:right w:val="none" w:sz="0" w:space="0" w:color="auto"/>
      </w:divBdr>
    </w:div>
    <w:div w:id="1825584155">
      <w:bodyDiv w:val="1"/>
      <w:marLeft w:val="0"/>
      <w:marRight w:val="0"/>
      <w:marTop w:val="0"/>
      <w:marBottom w:val="0"/>
      <w:divBdr>
        <w:top w:val="none" w:sz="0" w:space="0" w:color="auto"/>
        <w:left w:val="none" w:sz="0" w:space="0" w:color="auto"/>
        <w:bottom w:val="none" w:sz="0" w:space="0" w:color="auto"/>
        <w:right w:val="none" w:sz="0" w:space="0" w:color="auto"/>
      </w:divBdr>
    </w:div>
    <w:div w:id="1919174430">
      <w:bodyDiv w:val="1"/>
      <w:marLeft w:val="0"/>
      <w:marRight w:val="0"/>
      <w:marTop w:val="0"/>
      <w:marBottom w:val="0"/>
      <w:divBdr>
        <w:top w:val="none" w:sz="0" w:space="0" w:color="auto"/>
        <w:left w:val="none" w:sz="0" w:space="0" w:color="auto"/>
        <w:bottom w:val="none" w:sz="0" w:space="0" w:color="auto"/>
        <w:right w:val="none" w:sz="0" w:space="0" w:color="auto"/>
      </w:divBdr>
    </w:div>
    <w:div w:id="1957986216">
      <w:bodyDiv w:val="1"/>
      <w:marLeft w:val="0"/>
      <w:marRight w:val="0"/>
      <w:marTop w:val="0"/>
      <w:marBottom w:val="0"/>
      <w:divBdr>
        <w:top w:val="none" w:sz="0" w:space="0" w:color="auto"/>
        <w:left w:val="none" w:sz="0" w:space="0" w:color="auto"/>
        <w:bottom w:val="none" w:sz="0" w:space="0" w:color="auto"/>
        <w:right w:val="none" w:sz="0" w:space="0" w:color="auto"/>
      </w:divBdr>
    </w:div>
    <w:div w:id="1963069854">
      <w:bodyDiv w:val="1"/>
      <w:marLeft w:val="0"/>
      <w:marRight w:val="0"/>
      <w:marTop w:val="0"/>
      <w:marBottom w:val="0"/>
      <w:divBdr>
        <w:top w:val="none" w:sz="0" w:space="0" w:color="auto"/>
        <w:left w:val="none" w:sz="0" w:space="0" w:color="auto"/>
        <w:bottom w:val="none" w:sz="0" w:space="0" w:color="auto"/>
        <w:right w:val="none" w:sz="0" w:space="0" w:color="auto"/>
      </w:divBdr>
    </w:div>
    <w:div w:id="1982495807">
      <w:bodyDiv w:val="1"/>
      <w:marLeft w:val="0"/>
      <w:marRight w:val="0"/>
      <w:marTop w:val="0"/>
      <w:marBottom w:val="0"/>
      <w:divBdr>
        <w:top w:val="none" w:sz="0" w:space="0" w:color="auto"/>
        <w:left w:val="none" w:sz="0" w:space="0" w:color="auto"/>
        <w:bottom w:val="none" w:sz="0" w:space="0" w:color="auto"/>
        <w:right w:val="none" w:sz="0" w:space="0" w:color="auto"/>
      </w:divBdr>
    </w:div>
    <w:div w:id="1982877821">
      <w:bodyDiv w:val="1"/>
      <w:marLeft w:val="0"/>
      <w:marRight w:val="0"/>
      <w:marTop w:val="0"/>
      <w:marBottom w:val="0"/>
      <w:divBdr>
        <w:top w:val="none" w:sz="0" w:space="0" w:color="auto"/>
        <w:left w:val="none" w:sz="0" w:space="0" w:color="auto"/>
        <w:bottom w:val="none" w:sz="0" w:space="0" w:color="auto"/>
        <w:right w:val="none" w:sz="0" w:space="0" w:color="auto"/>
      </w:divBdr>
    </w:div>
    <w:div w:id="1996101726">
      <w:bodyDiv w:val="1"/>
      <w:marLeft w:val="0"/>
      <w:marRight w:val="0"/>
      <w:marTop w:val="0"/>
      <w:marBottom w:val="0"/>
      <w:divBdr>
        <w:top w:val="none" w:sz="0" w:space="0" w:color="auto"/>
        <w:left w:val="none" w:sz="0" w:space="0" w:color="auto"/>
        <w:bottom w:val="none" w:sz="0" w:space="0" w:color="auto"/>
        <w:right w:val="none" w:sz="0" w:space="0" w:color="auto"/>
      </w:divBdr>
    </w:div>
    <w:div w:id="2040546448">
      <w:bodyDiv w:val="1"/>
      <w:marLeft w:val="0"/>
      <w:marRight w:val="0"/>
      <w:marTop w:val="0"/>
      <w:marBottom w:val="0"/>
      <w:divBdr>
        <w:top w:val="none" w:sz="0" w:space="0" w:color="auto"/>
        <w:left w:val="none" w:sz="0" w:space="0" w:color="auto"/>
        <w:bottom w:val="none" w:sz="0" w:space="0" w:color="auto"/>
        <w:right w:val="none" w:sz="0" w:space="0" w:color="auto"/>
      </w:divBdr>
    </w:div>
    <w:div w:id="2047214412">
      <w:bodyDiv w:val="1"/>
      <w:marLeft w:val="0"/>
      <w:marRight w:val="0"/>
      <w:marTop w:val="0"/>
      <w:marBottom w:val="0"/>
      <w:divBdr>
        <w:top w:val="none" w:sz="0" w:space="0" w:color="auto"/>
        <w:left w:val="none" w:sz="0" w:space="0" w:color="auto"/>
        <w:bottom w:val="none" w:sz="0" w:space="0" w:color="auto"/>
        <w:right w:val="none" w:sz="0" w:space="0" w:color="auto"/>
      </w:divBdr>
    </w:div>
    <w:div w:id="20655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business-bank.co.uk/ourpartners/recovery-loan-scheme/faq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recovery-loan-sche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bnews.com/money/state-pens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first-year-allowance-extension-for-electric-vehicle-charge-points" TargetMode="External"/><Relationship Id="rId5" Type="http://schemas.openxmlformats.org/officeDocument/2006/relationships/numbering" Target="numbering.xml"/><Relationship Id="rId15" Type="http://schemas.openxmlformats.org/officeDocument/2006/relationships/hyperlink" Target="https://www.gov.uk/government/news/largest-ever-cash-increase-to-the-minimum-wag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aglobal.com/uk/en/cam/springbudget23.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D06EE447BAA348B68B448EA51CDF03" ma:contentTypeVersion="13" ma:contentTypeDescription="Create a new document." ma:contentTypeScope="" ma:versionID="98347411cba915b839b2c17eb62f1a30">
  <xsd:schema xmlns:xsd="http://www.w3.org/2001/XMLSchema" xmlns:xs="http://www.w3.org/2001/XMLSchema" xmlns:p="http://schemas.microsoft.com/office/2006/metadata/properties" xmlns:ns3="e26c4e50-ea9b-4192-94d2-e70236926e53" xmlns:ns4="d3197d30-c7b6-4274-b863-7e34421eb7a1" targetNamespace="http://schemas.microsoft.com/office/2006/metadata/properties" ma:root="true" ma:fieldsID="291704a616f8caaa2d885fe443ef46c6" ns3:_="" ns4:_="">
    <xsd:import namespace="e26c4e50-ea9b-4192-94d2-e70236926e53"/>
    <xsd:import namespace="d3197d30-c7b6-4274-b863-7e34421eb7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c4e50-ea9b-4192-94d2-e70236926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97d30-c7b6-4274-b863-7e34421eb7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2FC5B-68B7-4C31-91EC-A10186A70E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8A114B-9405-E240-9AD3-408E6E625C5B}">
  <ds:schemaRefs>
    <ds:schemaRef ds:uri="http://schemas.openxmlformats.org/officeDocument/2006/bibliography"/>
  </ds:schemaRefs>
</ds:datastoreItem>
</file>

<file path=customXml/itemProps3.xml><?xml version="1.0" encoding="utf-8"?>
<ds:datastoreItem xmlns:ds="http://schemas.openxmlformats.org/officeDocument/2006/customXml" ds:itemID="{D3CC0E36-0415-4C4F-9851-06EEEE170CEE}">
  <ds:schemaRefs>
    <ds:schemaRef ds:uri="http://schemas.microsoft.com/sharepoint/v3/contenttype/forms"/>
  </ds:schemaRefs>
</ds:datastoreItem>
</file>

<file path=customXml/itemProps4.xml><?xml version="1.0" encoding="utf-8"?>
<ds:datastoreItem xmlns:ds="http://schemas.openxmlformats.org/officeDocument/2006/customXml" ds:itemID="{EFECB0ED-C57E-4B69-9583-EDBB8A5F7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c4e50-ea9b-4192-94d2-e70236926e53"/>
    <ds:schemaRef ds:uri="d3197d30-c7b6-4274-b863-7e34421e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13951</CharactersWithSpaces>
  <SharedDoc>false</SharedDoc>
  <HLinks>
    <vt:vector size="18" baseType="variant">
      <vt:variant>
        <vt:i4>7536685</vt:i4>
      </vt:variant>
      <vt:variant>
        <vt:i4>6</vt:i4>
      </vt:variant>
      <vt:variant>
        <vt:i4>0</vt:i4>
      </vt:variant>
      <vt:variant>
        <vt:i4>5</vt:i4>
      </vt:variant>
      <vt:variant>
        <vt:lpwstr>http://accainpractice.newsweaver.co.uk/accainpractice/1fl4ivaef1k1l3m8eceq63/external?a=6&amp;p=58787423&amp;t=30229336</vt:lpwstr>
      </vt:variant>
      <vt:variant>
        <vt:lpwstr/>
      </vt:variant>
      <vt:variant>
        <vt:i4>4522065</vt:i4>
      </vt:variant>
      <vt:variant>
        <vt:i4>3</vt:i4>
      </vt:variant>
      <vt:variant>
        <vt:i4>0</vt:i4>
      </vt:variant>
      <vt:variant>
        <vt:i4>5</vt:i4>
      </vt:variant>
      <vt:variant>
        <vt:lpwstr>https://www.accaglobal.com/uk/en/employer/recruit-acca-accounting-technician-apprentices.html</vt:lpwstr>
      </vt:variant>
      <vt:variant>
        <vt:lpwstr/>
      </vt:variant>
      <vt:variant>
        <vt:i4>4194387</vt:i4>
      </vt:variant>
      <vt:variant>
        <vt:i4>0</vt:i4>
      </vt:variant>
      <vt:variant>
        <vt:i4>0</vt:i4>
      </vt:variant>
      <vt:variant>
        <vt:i4>5</vt:i4>
      </vt:variant>
      <vt:variant>
        <vt:lpwstr>https://www.apprenticeships.gov.uk/employer/how-much-is-it-going-to-cost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Fraser</dc:creator>
  <cp:lastModifiedBy>Pat Delbridge</cp:lastModifiedBy>
  <cp:revision>6</cp:revision>
  <cp:lastPrinted>2021-03-03T20:36:00Z</cp:lastPrinted>
  <dcterms:created xsi:type="dcterms:W3CDTF">2023-11-28T08:16:00Z</dcterms:created>
  <dcterms:modified xsi:type="dcterms:W3CDTF">2023-11-28T08:19:00Z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0x010100D3D06EE447BAA348B68B448EA51CDF03</vt:lpwstr>
  </property>
</Properties>
</file>